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CE84E" w14:textId="0D41F3E1" w:rsidR="000E2F55" w:rsidRDefault="000E2F55" w:rsidP="000E2F55">
      <w:r w:rsidRPr="0025206B">
        <w:rPr>
          <w:i/>
        </w:rPr>
        <w:t>The Greek Epic Cycle and its Ancient R</w:t>
      </w:r>
      <w:bookmarkStart w:id="0" w:name="_GoBack"/>
      <w:bookmarkEnd w:id="0"/>
      <w:r w:rsidRPr="0025206B">
        <w:rPr>
          <w:i/>
        </w:rPr>
        <w:t>eception: A Companion</w:t>
      </w:r>
      <w:r w:rsidRPr="0025206B">
        <w:t xml:space="preserve">. Edited by </w:t>
      </w:r>
      <w:r w:rsidRPr="0025206B">
        <w:rPr>
          <w:smallCaps/>
        </w:rPr>
        <w:t xml:space="preserve">Marco </w:t>
      </w:r>
      <w:proofErr w:type="spellStart"/>
      <w:r w:rsidRPr="0025206B">
        <w:rPr>
          <w:smallCaps/>
        </w:rPr>
        <w:t>Fantuzzi</w:t>
      </w:r>
      <w:proofErr w:type="spellEnd"/>
      <w:r w:rsidRPr="0025206B">
        <w:rPr>
          <w:smallCaps/>
        </w:rPr>
        <w:t xml:space="preserve"> </w:t>
      </w:r>
      <w:r w:rsidRPr="0025206B">
        <w:t xml:space="preserve">and </w:t>
      </w:r>
      <w:r w:rsidRPr="0025206B">
        <w:rPr>
          <w:smallCaps/>
        </w:rPr>
        <w:t xml:space="preserve">Christos </w:t>
      </w:r>
      <w:proofErr w:type="spellStart"/>
      <w:r w:rsidRPr="0025206B">
        <w:rPr>
          <w:smallCaps/>
        </w:rPr>
        <w:t>Tsagalis</w:t>
      </w:r>
      <w:proofErr w:type="spellEnd"/>
      <w:r w:rsidRPr="0025206B">
        <w:t>. Cambridge: Cambridge University Press,</w:t>
      </w:r>
      <w:r w:rsidRPr="0025206B">
        <w:rPr>
          <w:smallCaps/>
        </w:rPr>
        <w:t xml:space="preserve"> </w:t>
      </w:r>
      <w:r w:rsidRPr="0025206B">
        <w:t>2015. Pp. xiii+678. Hardcover, $195. ISBN 978-110701259-2.</w:t>
      </w:r>
    </w:p>
    <w:p w14:paraId="45D8D76B" w14:textId="77777777" w:rsidR="000E2F55" w:rsidRDefault="000E2F55" w:rsidP="000E2F55"/>
    <w:p w14:paraId="2ACD10F8" w14:textId="77777777" w:rsidR="000E2F55" w:rsidRPr="0025206B" w:rsidRDefault="000E2F55" w:rsidP="000E2F55">
      <w:pPr>
        <w:jc w:val="right"/>
        <w:rPr>
          <w:sz w:val="20"/>
          <w:szCs w:val="20"/>
        </w:rPr>
      </w:pPr>
      <w:r w:rsidRPr="0025206B">
        <w:rPr>
          <w:i/>
          <w:sz w:val="20"/>
          <w:szCs w:val="20"/>
        </w:rPr>
        <w:t xml:space="preserve">Dis </w:t>
      </w:r>
      <w:proofErr w:type="spellStart"/>
      <w:r w:rsidRPr="0025206B">
        <w:rPr>
          <w:i/>
          <w:sz w:val="20"/>
          <w:szCs w:val="20"/>
        </w:rPr>
        <w:t>Manibus</w:t>
      </w:r>
      <w:proofErr w:type="spellEnd"/>
      <w:r w:rsidRPr="0025206B">
        <w:rPr>
          <w:i/>
          <w:sz w:val="20"/>
          <w:szCs w:val="20"/>
        </w:rPr>
        <w:t xml:space="preserve"> Martin Litchfield West</w:t>
      </w:r>
    </w:p>
    <w:p w14:paraId="1810BF8E" w14:textId="77777777" w:rsidR="000E2F55" w:rsidRPr="007E6C72" w:rsidRDefault="000E2F55" w:rsidP="000E2F55">
      <w:pPr>
        <w:keepNext/>
        <w:framePr w:dropCap="drop" w:lines="3" w:wrap="around" w:vAnchor="text" w:hAnchor="text" w:y="260"/>
        <w:spacing w:line="806" w:lineRule="exact"/>
        <w:textAlignment w:val="baseline"/>
        <w:rPr>
          <w:position w:val="-7"/>
          <w:sz w:val="107"/>
          <w:szCs w:val="22"/>
        </w:rPr>
      </w:pPr>
      <w:r>
        <w:rPr>
          <w:position w:val="-7"/>
          <w:sz w:val="107"/>
          <w:szCs w:val="22"/>
        </w:rPr>
        <w:t>F</w:t>
      </w:r>
    </w:p>
    <w:p w14:paraId="55916CAC" w14:textId="77777777" w:rsidR="000E2F55" w:rsidRDefault="000E2F55" w:rsidP="000E2F55"/>
    <w:p w14:paraId="4702E444" w14:textId="77777777" w:rsidR="000E2F55" w:rsidRPr="0025206B" w:rsidRDefault="000E2F55" w:rsidP="000E2F55">
      <w:proofErr w:type="spellStart"/>
      <w:r w:rsidRPr="0025206B">
        <w:t>ools</w:t>
      </w:r>
      <w:proofErr w:type="spellEnd"/>
      <w:r w:rsidRPr="0025206B">
        <w:t xml:space="preserve"> may rush into the Epic Cycle where even the wary should tread especially carefully.</w:t>
      </w:r>
      <w:r w:rsidRPr="0025206B">
        <w:rPr>
          <w:rStyle w:val="FootnoteReference"/>
        </w:rPr>
        <w:footnoteReference w:id="1"/>
      </w:r>
      <w:r w:rsidRPr="0025206B">
        <w:t xml:space="preserve"> Consider certain comparisons. Homer—whoever he/she/they was/were—produced two poems of some twenty-eight thousand lines; as for the Epic Cycle, whatever it was (there are some standard inclusions, others arguable), a miserable some one hundred lines remain.</w:t>
      </w:r>
      <w:r w:rsidRPr="0025206B">
        <w:rPr>
          <w:rStyle w:val="FootnoteReference"/>
        </w:rPr>
        <w:footnoteReference w:id="2"/>
      </w:r>
    </w:p>
    <w:p w14:paraId="54FBE01D" w14:textId="77777777" w:rsidR="000E2F55" w:rsidRPr="0025206B" w:rsidRDefault="000E2F55" w:rsidP="000E2F55">
      <w:pPr>
        <w:widowControl w:val="0"/>
        <w:autoSpaceDE w:val="0"/>
        <w:autoSpaceDN w:val="0"/>
        <w:adjustRightInd w:val="0"/>
        <w:ind w:firstLine="360"/>
      </w:pPr>
      <w:r w:rsidRPr="0025206B">
        <w:t xml:space="preserve">As for Homer, there are issues such as oral-into-written, the </w:t>
      </w:r>
      <w:proofErr w:type="spellStart"/>
      <w:r w:rsidRPr="0025206B">
        <w:t>Peisistratean</w:t>
      </w:r>
      <w:proofErr w:type="spellEnd"/>
      <w:r w:rsidRPr="0025206B">
        <w:t xml:space="preserve"> recension, and the value of the papyri. The Epic Cycle, however, does not even possess plausible grounds for many debates; no certainty on versions of the poems such as the </w:t>
      </w:r>
      <w:r w:rsidRPr="0025206B">
        <w:rPr>
          <w:i/>
        </w:rPr>
        <w:t xml:space="preserve">Ilium </w:t>
      </w:r>
      <w:proofErr w:type="spellStart"/>
      <w:r w:rsidRPr="0025206B">
        <w:rPr>
          <w:i/>
        </w:rPr>
        <w:t>Parvum</w:t>
      </w:r>
      <w:proofErr w:type="spellEnd"/>
      <w:r w:rsidRPr="0025206B">
        <w:rPr>
          <w:i/>
        </w:rPr>
        <w:t xml:space="preserve">; </w:t>
      </w:r>
      <w:r w:rsidRPr="0025206B">
        <w:t>enough issues of authorship to bedevil the scholar shaking the proverbial stick.</w:t>
      </w:r>
      <w:r w:rsidRPr="0025206B">
        <w:rPr>
          <w:rStyle w:val="FootnoteReference"/>
        </w:rPr>
        <w:footnoteReference w:id="3"/>
      </w:r>
      <w:r w:rsidRPr="0025206B">
        <w:rPr>
          <w:i/>
        </w:rPr>
        <w:t xml:space="preserve"> </w:t>
      </w:r>
      <w:r w:rsidRPr="0025206B">
        <w:t xml:space="preserve">In that latter instance, for example, we find a profusion of confusion since antiquity. Aristotle did a scholarly punt and concluded “whoever” for the author of the </w:t>
      </w:r>
      <w:proofErr w:type="spellStart"/>
      <w:r w:rsidRPr="0025206B">
        <w:rPr>
          <w:i/>
        </w:rPr>
        <w:t>Cypria</w:t>
      </w:r>
      <w:proofErr w:type="spellEnd"/>
      <w:r w:rsidRPr="0025206B">
        <w:t xml:space="preserve"> (</w:t>
      </w:r>
      <w:r w:rsidRPr="0025206B">
        <w:rPr>
          <w:i/>
        </w:rPr>
        <w:t>Poet</w:t>
      </w:r>
      <w:r w:rsidRPr="0025206B">
        <w:t>. 1459b1–2) while previously Herodotus had “not Homer” (2.117) though Pindar (</w:t>
      </w:r>
      <w:proofErr w:type="spellStart"/>
      <w:r w:rsidRPr="0025206B">
        <w:t>fr.</w:t>
      </w:r>
      <w:proofErr w:type="spellEnd"/>
      <w:r w:rsidRPr="0025206B">
        <w:t xml:space="preserve"> 280 </w:t>
      </w:r>
      <w:proofErr w:type="spellStart"/>
      <w:r w:rsidRPr="0025206B">
        <w:t>Bowra</w:t>
      </w:r>
      <w:proofErr w:type="spellEnd"/>
      <w:r w:rsidRPr="0025206B">
        <w:t>) did have Homer. Penultimate, but by no means least annoying: lack of agreement on how which poems constituted a canonical Epic Cycle; indeed, it remains unclear if even antiquity possessed any such list(s).</w:t>
      </w:r>
      <w:r w:rsidRPr="0025206B">
        <w:rPr>
          <w:rStyle w:val="FootnoteReference"/>
        </w:rPr>
        <w:footnoteReference w:id="4"/>
      </w:r>
      <w:r w:rsidRPr="0025206B">
        <w:t xml:space="preserve"> And finally, why such an intense interest in cycle at the expense of </w:t>
      </w:r>
      <w:r w:rsidRPr="0025206B">
        <w:rPr>
          <w:i/>
        </w:rPr>
        <w:t>epos</w:t>
      </w:r>
      <w:r w:rsidRPr="0025206B">
        <w:t>? Academics generally, though mostly loathe to admit, run in ruts and traffic in fads. Luckily, this is changing and producing exciting results.</w:t>
      </w:r>
    </w:p>
    <w:p w14:paraId="5DD1A973" w14:textId="77777777" w:rsidR="000E2F55" w:rsidRPr="0025206B" w:rsidRDefault="000E2F55" w:rsidP="000E2F55">
      <w:pPr>
        <w:widowControl w:val="0"/>
        <w:autoSpaceDE w:val="0"/>
        <w:autoSpaceDN w:val="0"/>
        <w:adjustRightInd w:val="0"/>
        <w:ind w:firstLine="360"/>
      </w:pPr>
      <w:r w:rsidRPr="0025206B">
        <w:lastRenderedPageBreak/>
        <w:t xml:space="preserve">Was it even called “cycle” in antiquity? </w:t>
      </w:r>
      <w:proofErr w:type="spellStart"/>
      <w:r w:rsidRPr="0025206B">
        <w:t>Photius</w:t>
      </w:r>
      <w:proofErr w:type="spellEnd"/>
      <w:r w:rsidRPr="0025206B">
        <w:t xml:space="preserve"> thought so, based on Proclus, and </w:t>
      </w:r>
      <w:r w:rsidRPr="00610E2A">
        <w:t>∑</w:t>
      </w:r>
      <w:r w:rsidRPr="0025206B">
        <w:t xml:space="preserve"> Gregory Nazianzus </w:t>
      </w:r>
      <w:proofErr w:type="spellStart"/>
      <w:r w:rsidRPr="0025206B">
        <w:rPr>
          <w:i/>
        </w:rPr>
        <w:t>Orat</w:t>
      </w:r>
      <w:proofErr w:type="spellEnd"/>
      <w:r w:rsidRPr="0025206B">
        <w:t xml:space="preserve">. 45 on Aristotle’s </w:t>
      </w:r>
      <w:r w:rsidRPr="0025206B">
        <w:rPr>
          <w:i/>
        </w:rPr>
        <w:t>Posterior Analytics</w:t>
      </w:r>
      <w:r w:rsidRPr="0025206B">
        <w:t xml:space="preserve"> 77b3. Even there, when we invoke “Proclus” do we mean the second century grammarian or the fifth century Neoplatonist? </w:t>
      </w:r>
      <w:proofErr w:type="spellStart"/>
      <w:r w:rsidRPr="0025206B">
        <w:rPr>
          <w:i/>
        </w:rPr>
        <w:t>Communis</w:t>
      </w:r>
      <w:proofErr w:type="spellEnd"/>
      <w:r w:rsidRPr="0025206B">
        <w:rPr>
          <w:i/>
        </w:rPr>
        <w:t xml:space="preserve"> </w:t>
      </w:r>
      <w:proofErr w:type="spellStart"/>
      <w:r w:rsidRPr="0025206B">
        <w:rPr>
          <w:i/>
        </w:rPr>
        <w:t>opinio</w:t>
      </w:r>
      <w:proofErr w:type="spellEnd"/>
      <w:r w:rsidRPr="0025206B">
        <w:t xml:space="preserve"> favors the former, the latter is supportable. Scholars may well share Herakles’ dismay at the </w:t>
      </w:r>
      <w:proofErr w:type="spellStart"/>
      <w:r w:rsidRPr="0025206B">
        <w:t>Lernean</w:t>
      </w:r>
      <w:proofErr w:type="spellEnd"/>
      <w:r w:rsidRPr="0025206B">
        <w:t xml:space="preserve"> Hydra but they lack a scholarly flaming torch; nor is it likely they will ever have one. Dante’s </w:t>
      </w:r>
      <w:r w:rsidRPr="0025206B">
        <w:rPr>
          <w:i/>
        </w:rPr>
        <w:t xml:space="preserve">Qui </w:t>
      </w:r>
      <w:proofErr w:type="spellStart"/>
      <w:r w:rsidRPr="0025206B">
        <w:rPr>
          <w:i/>
        </w:rPr>
        <w:t>si</w:t>
      </w:r>
      <w:proofErr w:type="spellEnd"/>
      <w:r w:rsidRPr="0025206B">
        <w:rPr>
          <w:i/>
        </w:rPr>
        <w:t xml:space="preserve"> </w:t>
      </w:r>
      <w:proofErr w:type="spellStart"/>
      <w:r w:rsidRPr="0025206B">
        <w:rPr>
          <w:i/>
        </w:rPr>
        <w:t>convien</w:t>
      </w:r>
      <w:proofErr w:type="spellEnd"/>
      <w:r w:rsidRPr="0025206B">
        <w:rPr>
          <w:i/>
        </w:rPr>
        <w:t xml:space="preserve"> </w:t>
      </w:r>
      <w:proofErr w:type="spellStart"/>
      <w:r w:rsidRPr="0025206B">
        <w:rPr>
          <w:i/>
        </w:rPr>
        <w:t>lasciare</w:t>
      </w:r>
      <w:proofErr w:type="spellEnd"/>
      <w:r w:rsidRPr="0025206B">
        <w:rPr>
          <w:i/>
        </w:rPr>
        <w:t xml:space="preserve"> </w:t>
      </w:r>
      <w:proofErr w:type="spellStart"/>
      <w:r w:rsidRPr="0025206B">
        <w:rPr>
          <w:i/>
        </w:rPr>
        <w:t>ogni</w:t>
      </w:r>
      <w:proofErr w:type="spellEnd"/>
      <w:r w:rsidRPr="0025206B">
        <w:rPr>
          <w:i/>
        </w:rPr>
        <w:t xml:space="preserve"> </w:t>
      </w:r>
      <w:proofErr w:type="spellStart"/>
      <w:r w:rsidRPr="0025206B">
        <w:rPr>
          <w:i/>
        </w:rPr>
        <w:t>sospett</w:t>
      </w:r>
      <w:r w:rsidRPr="0025206B">
        <w:t>o</w:t>
      </w:r>
      <w:proofErr w:type="spellEnd"/>
      <w:r w:rsidRPr="0025206B">
        <w:t xml:space="preserve"> (</w:t>
      </w:r>
      <w:r w:rsidRPr="0025206B">
        <w:rPr>
          <w:i/>
        </w:rPr>
        <w:t>Inferno</w:t>
      </w:r>
      <w:r w:rsidRPr="0025206B">
        <w:t xml:space="preserve"> 3.14) suits for </w:t>
      </w:r>
      <w:proofErr w:type="spellStart"/>
      <w:r w:rsidRPr="0025206B">
        <w:t>Streitfragen</w:t>
      </w:r>
      <w:proofErr w:type="spellEnd"/>
      <w:r w:rsidRPr="0025206B">
        <w:t xml:space="preserve"> both </w:t>
      </w:r>
      <w:proofErr w:type="spellStart"/>
      <w:r w:rsidRPr="0025206B">
        <w:t>Lethean</w:t>
      </w:r>
      <w:proofErr w:type="spellEnd"/>
      <w:r w:rsidRPr="0025206B">
        <w:t xml:space="preserve"> and Sisyphean. “Don’t go there. Nothing good happens when you go there.”</w:t>
      </w:r>
    </w:p>
    <w:p w14:paraId="4F5E96B7" w14:textId="77777777" w:rsidR="000E2F55" w:rsidRPr="0025206B" w:rsidRDefault="000E2F55" w:rsidP="000E2F55">
      <w:pPr>
        <w:widowControl w:val="0"/>
        <w:autoSpaceDE w:val="0"/>
        <w:autoSpaceDN w:val="0"/>
        <w:adjustRightInd w:val="0"/>
        <w:ind w:firstLine="360"/>
      </w:pPr>
      <w:r w:rsidRPr="0025206B">
        <w:t>Go there we must. Homeric poems and the</w:t>
      </w:r>
      <w:r>
        <w:t xml:space="preserve"> poems of the</w:t>
      </w:r>
      <w:r w:rsidRPr="0025206B">
        <w:t xml:space="preserve"> Epic Cycle have clear thematic overlaps; either as poems or summaries, the Epic Cycle influenced Greek and Roman authors in varying ways, often overstated (</w:t>
      </w:r>
      <w:r w:rsidRPr="00FF3DCD">
        <w:rPr>
          <w:i/>
        </w:rPr>
        <w:t>infra</w:t>
      </w:r>
      <w:r w:rsidRPr="0025206B">
        <w:t>). Indeed, everywhere there are weak reads coming from weak philological reeds</w:t>
      </w:r>
      <w:r>
        <w:t>,</w:t>
      </w:r>
      <w:r w:rsidRPr="0025206B">
        <w:t xml:space="preserve"> all of Stygian growth habit. But in the going-there we find that a panoply of philological firepower has long been deployed. It smacks of “a game played on a high intellectual level with the ability to seduce the avid away from the real world into the realm of gambits and endgames” or, differently put, “there isn’t much to know and you can’t be wrong.”</w:t>
      </w:r>
      <w:r w:rsidRPr="0025206B">
        <w:rPr>
          <w:rStyle w:val="FootnoteReference"/>
        </w:rPr>
        <w:footnoteReference w:id="5"/>
      </w:r>
      <w:r w:rsidRPr="0025206B">
        <w:t xml:space="preserve"> Small wonder, then, that the Epic Cycle has long largely lured scholars of the “best scholar has the most footnotes” ilk, those whose preferred publication format might be a book which consists of nothing but footnotes.</w:t>
      </w:r>
      <w:r w:rsidRPr="0025206B">
        <w:rPr>
          <w:rStyle w:val="FootnoteReference"/>
        </w:rPr>
        <w:footnoteReference w:id="6"/>
      </w:r>
      <w:r w:rsidRPr="0025206B">
        <w:t xml:space="preserve"> Unfortunately despite philological value, there lurks a self-referential view of the Epic Cycle as mere minutiae. Absent new papyrus evidence, the ancients’ confusion remains. Definitely not the Hellenic case of “Romans confused; scholar knows best.”</w:t>
      </w:r>
      <w:r w:rsidRPr="0025206B">
        <w:rPr>
          <w:rStyle w:val="FootnoteReference"/>
        </w:rPr>
        <w:footnoteReference w:id="7"/>
      </w:r>
    </w:p>
    <w:p w14:paraId="7AC8C092" w14:textId="77777777" w:rsidR="000E2F55" w:rsidRPr="0025206B" w:rsidRDefault="000E2F55" w:rsidP="000E2F55">
      <w:pPr>
        <w:widowControl w:val="0"/>
        <w:autoSpaceDE w:val="0"/>
        <w:autoSpaceDN w:val="0"/>
        <w:adjustRightInd w:val="0"/>
        <w:ind w:firstLine="360"/>
      </w:pPr>
      <w:r w:rsidRPr="0025206B">
        <w:t xml:space="preserve">In recent decades, scholarship on the Epic Cycle has tripled: at least a </w:t>
      </w:r>
      <w:proofErr w:type="spellStart"/>
      <w:r w:rsidRPr="0025206B">
        <w:t>boomlet</w:t>
      </w:r>
      <w:proofErr w:type="spellEnd"/>
      <w:r w:rsidRPr="0025206B">
        <w:t xml:space="preserve">, perhaps a boom, in Epic Cycle studies. Some have produced valuable editions and wrung even more from the wretched and wrenched text and evidence, but more importantly others have gone beyond </w:t>
      </w:r>
      <w:proofErr w:type="spellStart"/>
      <w:r w:rsidRPr="0025206B">
        <w:t>Einzelerklärungen</w:t>
      </w:r>
      <w:proofErr w:type="spellEnd"/>
      <w:r w:rsidRPr="0025206B">
        <w:t xml:space="preserve"> to consider larger issues in philologically legitimate ways.</w:t>
      </w:r>
      <w:r w:rsidRPr="0025206B">
        <w:rPr>
          <w:rStyle w:val="FootnoteReference"/>
        </w:rPr>
        <w:footnoteReference w:id="8"/>
      </w:r>
      <w:r w:rsidRPr="0025206B">
        <w:t xml:space="preserve"> Thus there exist, and always should exist, two salient and complementary dimensions to study of the Epic Cycle. And these </w:t>
      </w:r>
      <w:r w:rsidRPr="0025206B">
        <w:lastRenderedPageBreak/>
        <w:t>are the two dimensions which encompass the volume under review.</w:t>
      </w:r>
    </w:p>
    <w:p w14:paraId="029095EE" w14:textId="77777777" w:rsidR="000E2F55" w:rsidRPr="0025206B" w:rsidRDefault="000E2F55" w:rsidP="000E2F55">
      <w:pPr>
        <w:ind w:firstLine="360"/>
      </w:pPr>
      <w:r w:rsidRPr="0025206B">
        <w:t>There is a lengthy forty-page Introduction (1–40) which orient</w:t>
      </w:r>
      <w:r>
        <w:t>s</w:t>
      </w:r>
      <w:r w:rsidRPr="0025206B">
        <w:t xml:space="preserve"> to those dimensions. Then thirty-two essays grouped in three parts, followed by bibliography, index of principal passages, and a generously full </w:t>
      </w:r>
      <w:r w:rsidRPr="0025206B">
        <w:rPr>
          <w:i/>
        </w:rPr>
        <w:t xml:space="preserve">index </w:t>
      </w:r>
      <w:proofErr w:type="spellStart"/>
      <w:r w:rsidRPr="0025206B">
        <w:rPr>
          <w:i/>
        </w:rPr>
        <w:t>nominum</w:t>
      </w:r>
      <w:proofErr w:type="spellEnd"/>
      <w:r w:rsidRPr="0025206B">
        <w:rPr>
          <w:i/>
        </w:rPr>
        <w:t xml:space="preserve"> et </w:t>
      </w:r>
      <w:proofErr w:type="spellStart"/>
      <w:r w:rsidRPr="0025206B">
        <w:rPr>
          <w:i/>
        </w:rPr>
        <w:t>rerum</w:t>
      </w:r>
      <w:proofErr w:type="spellEnd"/>
      <w:r w:rsidRPr="0025206B">
        <w:t xml:space="preserve">. Part One, “Approaches to the Epic Cycle” treats, e.g. orality, formation (West’s contribution), language and meter and narrative technique. Part Two, “Epics” examines the eleven agreed upon poems of the Epic Cycle. Part Three, “The Fortune of the Epic Cycle in the Ancient World” covers </w:t>
      </w:r>
      <w:proofErr w:type="spellStart"/>
      <w:r w:rsidRPr="0025206B">
        <w:t>Nachleben</w:t>
      </w:r>
      <w:proofErr w:type="spellEnd"/>
      <w:r w:rsidRPr="0025206B">
        <w:t xml:space="preserve">, from </w:t>
      </w:r>
      <w:proofErr w:type="spellStart"/>
      <w:r w:rsidRPr="0025206B">
        <w:t>Stesichorus</w:t>
      </w:r>
      <w:proofErr w:type="spellEnd"/>
      <w:r w:rsidRPr="0025206B">
        <w:t xml:space="preserve"> and </w:t>
      </w:r>
      <w:proofErr w:type="spellStart"/>
      <w:r w:rsidRPr="0025206B">
        <w:t>Ibycus</w:t>
      </w:r>
      <w:proofErr w:type="spellEnd"/>
      <w:r w:rsidRPr="0025206B">
        <w:t xml:space="preserve"> to late developments such as the </w:t>
      </w:r>
      <w:proofErr w:type="spellStart"/>
      <w:r w:rsidRPr="0025206B">
        <w:rPr>
          <w:i/>
        </w:rPr>
        <w:t>Cynegetica</w:t>
      </w:r>
      <w:proofErr w:type="spellEnd"/>
      <w:r w:rsidRPr="0025206B">
        <w:t xml:space="preserve"> and </w:t>
      </w:r>
      <w:proofErr w:type="spellStart"/>
      <w:r w:rsidRPr="0025206B">
        <w:t>Nonnus</w:t>
      </w:r>
      <w:proofErr w:type="spellEnd"/>
      <w:r w:rsidRPr="0025206B">
        <w:t>.</w:t>
      </w:r>
    </w:p>
    <w:p w14:paraId="7FD48CB8" w14:textId="77777777" w:rsidR="000E2F55" w:rsidRPr="0025206B" w:rsidRDefault="000E2F55" w:rsidP="000E2F55">
      <w:pPr>
        <w:ind w:firstLine="360"/>
      </w:pPr>
      <w:r w:rsidRPr="0025206B">
        <w:t xml:space="preserve">One should not expect unity of outlook in so diverse a collection. Some of the essays hew to their titles without concern for larger issues. Understandable to a degree, but those larger issues inevitably refract back on the precise value of the </w:t>
      </w:r>
      <w:proofErr w:type="spellStart"/>
      <w:r w:rsidRPr="0025206B">
        <w:t>Einzelerklärungen</w:t>
      </w:r>
      <w:proofErr w:type="spellEnd"/>
      <w:r w:rsidRPr="0025206B">
        <w:t>. Three essays stand out for balanced discussion of both kinds of issues: Jonathan Burgess’ “Coming adrift: The limits of reconstruction of the cyclic poems” (43–58) displays a measure</w:t>
      </w:r>
      <w:r>
        <w:t>d</w:t>
      </w:r>
      <w:r w:rsidRPr="0025206B">
        <w:t xml:space="preserve"> skepticism about some of the more extravagant claims made for and about the Epic Cycle. Gregory Nagy’s “Oral traditions, written texts, and questions of authorship” (59–77) usefully takes the orality issues from the Homeric poems and expands the discussion to the Epic Cycle.  Finally, John Miles Foley and Justin </w:t>
      </w:r>
      <w:proofErr w:type="spellStart"/>
      <w:r w:rsidRPr="0025206B">
        <w:t>Arft</w:t>
      </w:r>
      <w:proofErr w:type="spellEnd"/>
      <w:r w:rsidRPr="0025206B">
        <w:t xml:space="preserve"> in “The Epic Cycle and Oral Tradition” (78–95) expand orality issues via consideration of cont</w:t>
      </w:r>
      <w:r>
        <w:t>emporary oral poetry traditions</w:t>
      </w:r>
      <w:r w:rsidRPr="0025206B">
        <w:t>.</w:t>
      </w:r>
    </w:p>
    <w:p w14:paraId="18277712" w14:textId="77777777" w:rsidR="000E2F55" w:rsidRPr="0025206B" w:rsidRDefault="000E2F55" w:rsidP="000E2F55">
      <w:pPr>
        <w:ind w:firstLine="360"/>
      </w:pPr>
      <w:r>
        <w:t>The essays of Part T</w:t>
      </w:r>
      <w:r w:rsidRPr="0025206B">
        <w:t xml:space="preserve">wo, on the individual poems, are uniformly valuable, uniformly intense and uniformly useful to all who need orientation to the poems’ (such as they are) specific issues. As for the </w:t>
      </w:r>
      <w:proofErr w:type="spellStart"/>
      <w:r w:rsidRPr="0025206B">
        <w:t>Nachleben</w:t>
      </w:r>
      <w:proofErr w:type="spellEnd"/>
      <w:r w:rsidRPr="0025206B">
        <w:t xml:space="preserve"> essays of Part Three, my thoughts occasionally turned to </w:t>
      </w:r>
      <w:proofErr w:type="spellStart"/>
      <w:r w:rsidRPr="0025206B">
        <w:t>Timon</w:t>
      </w:r>
      <w:proofErr w:type="spellEnd"/>
      <w:r w:rsidRPr="0025206B">
        <w:t xml:space="preserve"> of </w:t>
      </w:r>
      <w:proofErr w:type="spellStart"/>
      <w:r w:rsidRPr="0025206B">
        <w:t>Philus</w:t>
      </w:r>
      <w:proofErr w:type="spellEnd"/>
      <w:r w:rsidRPr="0025206B">
        <w:t>’ coarse jest about the scholars of the Library at Alexandria (</w:t>
      </w:r>
      <w:r w:rsidRPr="00FF3DCD">
        <w:rPr>
          <w:i/>
        </w:rPr>
        <w:t>ap</w:t>
      </w:r>
      <w:r w:rsidRPr="0025206B">
        <w:t xml:space="preserve">. </w:t>
      </w:r>
      <w:proofErr w:type="spellStart"/>
      <w:r w:rsidRPr="0025206B">
        <w:t>Athenaeus</w:t>
      </w:r>
      <w:proofErr w:type="spellEnd"/>
      <w:r w:rsidRPr="0025206B">
        <w:t xml:space="preserve"> 1.22d) “in teeming Egypt they fatten up many bookish pedants, who quarrel endlessly in the Muses’ birdcage.” Many of the assertions are, to put it mildly, a stretch.</w:t>
      </w:r>
    </w:p>
    <w:p w14:paraId="3D0F9A46" w14:textId="77777777" w:rsidR="000E2F55" w:rsidRPr="0025206B" w:rsidRDefault="000E2F55" w:rsidP="000E2F55">
      <w:pPr>
        <w:ind w:firstLine="360"/>
      </w:pPr>
      <w:r w:rsidRPr="00FF3DCD">
        <w:rPr>
          <w:i/>
        </w:rPr>
        <w:t xml:space="preserve">Pars pro </w:t>
      </w:r>
      <w:proofErr w:type="spellStart"/>
      <w:r w:rsidRPr="00FF3DCD">
        <w:rPr>
          <w:i/>
        </w:rPr>
        <w:t>toto</w:t>
      </w:r>
      <w:proofErr w:type="spellEnd"/>
      <w:r w:rsidRPr="0025206B">
        <w:t xml:space="preserve">, I focus on one article symptomatic of my complaints; but the same could be said for all. Ursula </w:t>
      </w:r>
      <w:proofErr w:type="spellStart"/>
      <w:r w:rsidRPr="0025206B">
        <w:t>Gaertner</w:t>
      </w:r>
      <w:proofErr w:type="spellEnd"/>
      <w:r w:rsidRPr="0025206B">
        <w:t xml:space="preserve"> in “Virgil [</w:t>
      </w:r>
      <w:r w:rsidRPr="00FF3DCD">
        <w:rPr>
          <w:i/>
        </w:rPr>
        <w:t>sic</w:t>
      </w:r>
      <w:r w:rsidRPr="0025206B">
        <w:t xml:space="preserve">] and the epic cycle” (543–64) frankly admits (559–60) that none of her correlations can be proved. </w:t>
      </w:r>
      <w:r w:rsidRPr="0025206B">
        <w:rPr>
          <w:i/>
        </w:rPr>
        <w:t>Cui bono</w:t>
      </w:r>
      <w:r w:rsidRPr="0025206B">
        <w:t xml:space="preserve">? Most will accept West’s demonstration that knowledge of the epic seems “really to fade out” by the start of the third century </w:t>
      </w:r>
      <w:r w:rsidRPr="0025206B">
        <w:rPr>
          <w:smallCaps/>
        </w:rPr>
        <w:t>ad</w:t>
      </w:r>
      <w:r w:rsidRPr="0025206B">
        <w:t>.</w:t>
      </w:r>
      <w:r w:rsidRPr="0025206B">
        <w:rPr>
          <w:rStyle w:val="FootnoteReference"/>
        </w:rPr>
        <w:footnoteReference w:id="9"/>
      </w:r>
      <w:r w:rsidRPr="0025206B">
        <w:t xml:space="preserve"> Assuming that the epic cycle still existed “complete” in Vergil’s time does not prove that he had access to it, or even read it.</w:t>
      </w:r>
    </w:p>
    <w:p w14:paraId="1A9E33C4" w14:textId="77777777" w:rsidR="000E2F55" w:rsidRPr="0025206B" w:rsidRDefault="000E2F55" w:rsidP="000E2F55">
      <w:pPr>
        <w:ind w:firstLine="360"/>
      </w:pPr>
      <w:r w:rsidRPr="0025206B">
        <w:lastRenderedPageBreak/>
        <w:t xml:space="preserve">The oft-bruited claim that because Vergil knows things not apparent in Proclus’ summary means the poet had read the Epic Cycle will not do. He might have gotten the information from others who had, either </w:t>
      </w:r>
      <w:r w:rsidRPr="00FF3DCD">
        <w:rPr>
          <w:i/>
        </w:rPr>
        <w:t>viva voce</w:t>
      </w:r>
      <w:r w:rsidRPr="0025206B">
        <w:t xml:space="preserve"> or in writing.</w:t>
      </w:r>
      <w:r w:rsidRPr="0025206B">
        <w:rPr>
          <w:rStyle w:val="FootnoteReference"/>
        </w:rPr>
        <w:footnoteReference w:id="10"/>
      </w:r>
      <w:r w:rsidRPr="0025206B">
        <w:t xml:space="preserve"> In this latter instance, there can be no doubt that there existed </w:t>
      </w:r>
      <w:proofErr w:type="spellStart"/>
      <w:r w:rsidRPr="0025206B">
        <w:t>paradoxographers</w:t>
      </w:r>
      <w:proofErr w:type="spellEnd"/>
      <w:r w:rsidRPr="0025206B">
        <w:t xml:space="preserve"> and mythographers whose names we do not even know; recall that we possess only one to two and one-half percent of all written texts from antiquity.</w:t>
      </w:r>
      <w:r w:rsidRPr="0025206B">
        <w:rPr>
          <w:rStyle w:val="FootnoteReference"/>
        </w:rPr>
        <w:footnoteReference w:id="11"/>
      </w:r>
      <w:r w:rsidRPr="0025206B">
        <w:t xml:space="preserve"> Again, </w:t>
      </w:r>
      <w:proofErr w:type="spellStart"/>
      <w:r w:rsidRPr="0025206B">
        <w:t>Gianpiero</w:t>
      </w:r>
      <w:proofErr w:type="spellEnd"/>
      <w:r w:rsidRPr="0025206B">
        <w:t xml:space="preserve"> </w:t>
      </w:r>
      <w:proofErr w:type="spellStart"/>
      <w:r w:rsidRPr="0025206B">
        <w:t>Rosati</w:t>
      </w:r>
      <w:proofErr w:type="spellEnd"/>
      <w:r w:rsidRPr="0025206B">
        <w:t xml:space="preserve"> on Ovid (565–77) concludes (577) “…we have confirmation of the profound affinity linking Ovid’s poem to an epic that not only offered an extremely rich mythical reservoir of Trojan stories, but whose world-view was also open, digressive and polyphonic like the </w:t>
      </w:r>
      <w:r w:rsidRPr="00FF3DCD">
        <w:rPr>
          <w:i/>
        </w:rPr>
        <w:t>Metamorphoses</w:t>
      </w:r>
      <w:r w:rsidRPr="0025206B">
        <w:t xml:space="preserve">’.” </w:t>
      </w:r>
    </w:p>
    <w:p w14:paraId="4234B2DB" w14:textId="77777777" w:rsidR="000E2F55" w:rsidRPr="0025206B" w:rsidRDefault="000E2F55" w:rsidP="000E2F55">
      <w:pPr>
        <w:ind w:firstLine="360"/>
      </w:pPr>
      <w:r w:rsidRPr="0025206B">
        <w:t xml:space="preserve">Here be problems. First, Ovid had an enormous number of Hellenistic sources for “monsters, miracles and metamorphoses”; in ancient categories, </w:t>
      </w:r>
      <w:proofErr w:type="spellStart"/>
      <w:r w:rsidRPr="0025206B">
        <w:rPr>
          <w:i/>
        </w:rPr>
        <w:t>thaumata</w:t>
      </w:r>
      <w:proofErr w:type="spellEnd"/>
      <w:r w:rsidRPr="0025206B">
        <w:t>/</w:t>
      </w:r>
      <w:proofErr w:type="spellStart"/>
      <w:r w:rsidRPr="0025206B">
        <w:rPr>
          <w:i/>
        </w:rPr>
        <w:t>mira</w:t>
      </w:r>
      <w:proofErr w:type="spellEnd"/>
      <w:r w:rsidRPr="0025206B">
        <w:t xml:space="preserve"> and </w:t>
      </w:r>
      <w:proofErr w:type="spellStart"/>
      <w:r w:rsidRPr="0025206B">
        <w:rPr>
          <w:i/>
        </w:rPr>
        <w:t>terata</w:t>
      </w:r>
      <w:proofErr w:type="spellEnd"/>
      <w:r w:rsidRPr="0025206B">
        <w:t>/</w:t>
      </w:r>
      <w:proofErr w:type="spellStart"/>
      <w:r w:rsidRPr="0025206B">
        <w:rPr>
          <w:i/>
        </w:rPr>
        <w:t>monstra</w:t>
      </w:r>
      <w:proofErr w:type="spellEnd"/>
      <w:r w:rsidRPr="0025206B">
        <w:t>.</w:t>
      </w:r>
      <w:r w:rsidRPr="0025206B">
        <w:rPr>
          <w:rStyle w:val="FootnoteReference"/>
        </w:rPr>
        <w:footnoteReference w:id="12"/>
      </w:r>
      <w:r w:rsidRPr="0025206B">
        <w:t xml:space="preserve"> Second, Ovid possesses remarkable unity of outlook and theme throughout his works; to extract the </w:t>
      </w:r>
      <w:r w:rsidRPr="0025206B">
        <w:rPr>
          <w:i/>
        </w:rPr>
        <w:t>Metamorphoses</w:t>
      </w:r>
      <w:r w:rsidRPr="0025206B">
        <w:t xml:space="preserve"> on the basis of meter while neglecting, e.g. the </w:t>
      </w:r>
      <w:proofErr w:type="spellStart"/>
      <w:r w:rsidRPr="0025206B">
        <w:rPr>
          <w:i/>
        </w:rPr>
        <w:t>Fasti</w:t>
      </w:r>
      <w:proofErr w:type="spellEnd"/>
      <w:r w:rsidRPr="0025206B">
        <w:t>, is otiose.</w:t>
      </w:r>
      <w:r w:rsidRPr="0025206B">
        <w:rPr>
          <w:rStyle w:val="FootnoteReference"/>
        </w:rPr>
        <w:footnoteReference w:id="13"/>
      </w:r>
      <w:r w:rsidRPr="0025206B">
        <w:t xml:space="preserve">  David Elmer on the ancient novel (596–603) qualifies the authors’ engagement with the Epic Cycle as “sometimes directly, sometimes indirectly” (598) and posits a connection between </w:t>
      </w:r>
      <w:proofErr w:type="spellStart"/>
      <w:r w:rsidRPr="0025206B">
        <w:t>Callirhoe’s</w:t>
      </w:r>
      <w:proofErr w:type="spellEnd"/>
      <w:r w:rsidRPr="0025206B">
        <w:t xml:space="preserve"> frustrated suitors and the </w:t>
      </w:r>
      <w:r w:rsidRPr="0025206B">
        <w:rPr>
          <w:i/>
        </w:rPr>
        <w:t>Odyssey</w:t>
      </w:r>
      <w:r w:rsidRPr="0025206B">
        <w:t>. But one does not need Homer to explain an action on the parts of frustrated suitors; such action has occurred ever since men first wooed women. It is not a significant coincidence if it could have arisen plausibly by chance, in this case an omnipresent human behavior.</w:t>
      </w:r>
      <w:r w:rsidRPr="0025206B">
        <w:rPr>
          <w:rStyle w:val="FootnoteReference"/>
        </w:rPr>
        <w:footnoteReference w:id="14"/>
      </w:r>
    </w:p>
    <w:p w14:paraId="7ABE4E6D" w14:textId="77777777" w:rsidR="000E2F55" w:rsidRPr="0025206B" w:rsidRDefault="000E2F55" w:rsidP="000E2F55">
      <w:pPr>
        <w:ind w:firstLine="360"/>
      </w:pPr>
      <w:r w:rsidRPr="0025206B">
        <w:t>There is, then, in a majority of studies of the Epic Cycle, and not just the ones here, both a disregard of the epistemology of coincidences and a lack of cognizance of elementary statistics. Classics i</w:t>
      </w:r>
      <w:r>
        <w:t>s</w:t>
      </w:r>
      <w:r w:rsidRPr="0025206B">
        <w:t xml:space="preserve"> a discipline founded on empiricism and still retains an emphasis on it; hence rampant disregard of coincidences sits ill. Thus when one finds something striking and epic in an extant author but not in Homer, need one posit the Epic Cycle?  Definitely not. As for metrical and style observations, one hundred or so lines do not constitute a valid statistical </w:t>
      </w:r>
      <w:r>
        <w:t xml:space="preserve">base. If the odds </w:t>
      </w:r>
      <w:r>
        <w:lastRenderedPageBreak/>
        <w:t>are</w:t>
      </w:r>
      <w:r w:rsidRPr="0025206B">
        <w:t xml:space="preserve"> high of any one author specifically making the connection, the odds are far, far lower of one author out of the many writing will do so. It is one thing to generalize about meter in the Homeric poems with large corpus of lines. And it is the same when we note that in Catullus 64, Hermann’s bridge is observed, part of its neoteric </w:t>
      </w:r>
      <w:proofErr w:type="spellStart"/>
      <w:r w:rsidRPr="0025206B">
        <w:t>epyllion</w:t>
      </w:r>
      <w:proofErr w:type="spellEnd"/>
      <w:r w:rsidRPr="0025206B">
        <w:t xml:space="preserve"> heritage; here 410 lines constitute sufficient data points. But when </w:t>
      </w:r>
      <w:proofErr w:type="spellStart"/>
      <w:r w:rsidRPr="0025206B">
        <w:t>Bernabé</w:t>
      </w:r>
      <w:proofErr w:type="spellEnd"/>
      <w:r w:rsidRPr="0025206B">
        <w:t xml:space="preserve"> 153 notes a violation of Hermann’s Bridge in a papyrus possibly from the </w:t>
      </w:r>
      <w:r w:rsidRPr="0025206B">
        <w:rPr>
          <w:i/>
        </w:rPr>
        <w:t xml:space="preserve">Ilium </w:t>
      </w:r>
      <w:proofErr w:type="spellStart"/>
      <w:r w:rsidRPr="0025206B">
        <w:rPr>
          <w:i/>
        </w:rPr>
        <w:t>Parvum</w:t>
      </w:r>
      <w:proofErr w:type="spellEnd"/>
      <w:r w:rsidRPr="0025206B">
        <w:t>, there are no statistically significant implications at all for meter in either the work or the entire epic cycle.</w:t>
      </w:r>
      <w:r w:rsidRPr="0025206B">
        <w:rPr>
          <w:rStyle w:val="FootnoteReference"/>
        </w:rPr>
        <w:footnoteReference w:id="15"/>
      </w:r>
    </w:p>
    <w:p w14:paraId="71D3A7C0" w14:textId="77777777" w:rsidR="000E2F55" w:rsidRPr="0025206B" w:rsidRDefault="000E2F55" w:rsidP="000E2F55">
      <w:pPr>
        <w:ind w:firstLine="360"/>
      </w:pPr>
      <w:r w:rsidRPr="0025206B">
        <w:t xml:space="preserve">There are some issues of presentation, by no means unique to this volume. For example, the near exclusive use of references by standard collections of the fragments without giving the actual ancient sources erects a serious barrier for the non-specialist reader who may well not have ready access to the collections. </w:t>
      </w:r>
    </w:p>
    <w:p w14:paraId="5FD77034" w14:textId="77777777" w:rsidR="000E2F55" w:rsidRPr="0025206B" w:rsidRDefault="000E2F55" w:rsidP="000E2F55">
      <w:pPr>
        <w:ind w:firstLine="360"/>
      </w:pPr>
      <w:r w:rsidRPr="0025206B">
        <w:t xml:space="preserve">Despite my complaints </w:t>
      </w:r>
      <w:r w:rsidRPr="0056144B">
        <w:rPr>
          <w:i/>
        </w:rPr>
        <w:t>supra passim</w:t>
      </w:r>
      <w:r w:rsidRPr="0025206B">
        <w:t>, study of early epic has come a long way since Kirchhoff’s “</w:t>
      </w:r>
      <w:proofErr w:type="spellStart"/>
      <w:r w:rsidRPr="0025206B">
        <w:t>Flickstück</w:t>
      </w:r>
      <w:proofErr w:type="spellEnd"/>
      <w:r w:rsidRPr="0025206B">
        <w:t xml:space="preserve">” (“patchwork”) or </w:t>
      </w:r>
      <w:proofErr w:type="spellStart"/>
      <w:r w:rsidRPr="0025206B">
        <w:t>Wilamowitz</w:t>
      </w:r>
      <w:r>
        <w:t>’s</w:t>
      </w:r>
      <w:proofErr w:type="spellEnd"/>
      <w:r w:rsidRPr="0025206B">
        <w:t xml:space="preserve"> “</w:t>
      </w:r>
      <w:proofErr w:type="spellStart"/>
      <w:r w:rsidRPr="0025206B">
        <w:t>ein</w:t>
      </w:r>
      <w:proofErr w:type="spellEnd"/>
      <w:r w:rsidRPr="0025206B">
        <w:t xml:space="preserve"> </w:t>
      </w:r>
      <w:proofErr w:type="spellStart"/>
      <w:r w:rsidRPr="0025206B">
        <w:t>gering</w:t>
      </w:r>
      <w:proofErr w:type="spellEnd"/>
      <w:r w:rsidRPr="0025206B">
        <w:t xml:space="preserve"> </w:t>
      </w:r>
      <w:proofErr w:type="spellStart"/>
      <w:r w:rsidRPr="0025206B">
        <w:t>begabter</w:t>
      </w:r>
      <w:proofErr w:type="spellEnd"/>
      <w:r w:rsidRPr="0025206B">
        <w:t xml:space="preserve"> </w:t>
      </w:r>
      <w:proofErr w:type="spellStart"/>
      <w:r w:rsidRPr="0025206B">
        <w:t>Flickpoet</w:t>
      </w:r>
      <w:proofErr w:type="spellEnd"/>
      <w:r w:rsidRPr="0025206B">
        <w:t xml:space="preserve">” (“an extremely poor patchwork-poet”) so characterized the </w:t>
      </w:r>
      <w:r w:rsidRPr="0025206B">
        <w:rPr>
          <w:i/>
        </w:rPr>
        <w:t>Odyssey</w:t>
      </w:r>
      <w:r w:rsidRPr="0025206B">
        <w:t>.</w:t>
      </w:r>
      <w:r w:rsidRPr="0025206B">
        <w:rPr>
          <w:rStyle w:val="FootnoteReference"/>
        </w:rPr>
        <w:footnoteReference w:id="16"/>
      </w:r>
      <w:r w:rsidRPr="0025206B">
        <w:t xml:space="preserve"> The current volume betokens the change. No longer analysts or </w:t>
      </w:r>
      <w:proofErr w:type="spellStart"/>
      <w:r w:rsidRPr="0025206B">
        <w:t>unitarians</w:t>
      </w:r>
      <w:proofErr w:type="spellEnd"/>
      <w:r w:rsidRPr="0025206B">
        <w:t xml:space="preserve"> write as if their opposite numbers are ninnies; rather, each approaches a common goal via complementary means. Perhaps best put by a leading analyst who opened this review, Martin West: “Analysis, </w:t>
      </w:r>
      <w:proofErr w:type="spellStart"/>
      <w:r w:rsidRPr="0025206B">
        <w:t>unitarianism</w:t>
      </w:r>
      <w:proofErr w:type="spellEnd"/>
      <w:r w:rsidRPr="0025206B">
        <w:t xml:space="preserve">, </w:t>
      </w:r>
      <w:proofErr w:type="spellStart"/>
      <w:r w:rsidRPr="0025206B">
        <w:t>oralism</w:t>
      </w:r>
      <w:proofErr w:type="spellEnd"/>
      <w:r w:rsidRPr="0025206B">
        <w:t xml:space="preserve">, </w:t>
      </w:r>
      <w:proofErr w:type="spellStart"/>
      <w:r w:rsidRPr="0025206B">
        <w:t>neoanalysis</w:t>
      </w:r>
      <w:proofErr w:type="spellEnd"/>
      <w:r w:rsidRPr="0025206B">
        <w:t xml:space="preserve"> have all had their parts to play in bringing us this far, and still have their parts to play. They all have their limitations, but none of them has proved unprofitable.”</w:t>
      </w:r>
      <w:r w:rsidRPr="0025206B">
        <w:rPr>
          <w:rStyle w:val="FootnoteReference"/>
        </w:rPr>
        <w:footnoteReference w:id="17"/>
      </w:r>
    </w:p>
    <w:p w14:paraId="66F853AE" w14:textId="77777777" w:rsidR="000E2F55" w:rsidRPr="0025206B" w:rsidRDefault="000E2F55" w:rsidP="000E2F55">
      <w:pPr>
        <w:ind w:firstLine="360"/>
      </w:pPr>
      <w:r w:rsidRPr="0025206B">
        <w:t xml:space="preserve">In this connection, consider everyone’s favorite crank, </w:t>
      </w:r>
      <w:proofErr w:type="spellStart"/>
      <w:r w:rsidRPr="0025206B">
        <w:t>Thersites</w:t>
      </w:r>
      <w:proofErr w:type="spellEnd"/>
      <w:r w:rsidRPr="0025206B">
        <w:t xml:space="preserve"> (</w:t>
      </w:r>
      <w:r w:rsidRPr="0025206B">
        <w:rPr>
          <w:i/>
        </w:rPr>
        <w:t>Il</w:t>
      </w:r>
      <w:r w:rsidRPr="0025206B">
        <w:t>.2.211–78). There are various trajectories involved. Is he an elite warrior or common soldier?</w:t>
      </w:r>
      <w:r w:rsidRPr="0025206B">
        <w:rPr>
          <w:rStyle w:val="FootnoteReference"/>
        </w:rPr>
        <w:footnoteReference w:id="18"/>
      </w:r>
      <w:r w:rsidRPr="0025206B">
        <w:t xml:space="preserve">  Initially, Homeric language supports both views, likewise </w:t>
      </w:r>
      <w:proofErr w:type="spellStart"/>
      <w:r w:rsidRPr="0025206B">
        <w:rPr>
          <w:i/>
        </w:rPr>
        <w:t>Aethiopis</w:t>
      </w:r>
      <w:proofErr w:type="spellEnd"/>
      <w:r w:rsidRPr="0025206B">
        <w:t xml:space="preserve"> (</w:t>
      </w:r>
      <w:proofErr w:type="spellStart"/>
      <w:r w:rsidRPr="0025206B">
        <w:t>Procl</w:t>
      </w:r>
      <w:proofErr w:type="spellEnd"/>
      <w:r w:rsidRPr="0025206B">
        <w:t xml:space="preserve">. </w:t>
      </w:r>
      <w:proofErr w:type="spellStart"/>
      <w:r w:rsidRPr="0025206B">
        <w:rPr>
          <w:i/>
        </w:rPr>
        <w:t>Chrest</w:t>
      </w:r>
      <w:proofErr w:type="spellEnd"/>
      <w:r w:rsidRPr="0025206B">
        <w:t xml:space="preserve">. 1, 111 West (2003) = </w:t>
      </w:r>
      <w:proofErr w:type="spellStart"/>
      <w:r w:rsidRPr="0025206B">
        <w:t>Bernabé</w:t>
      </w:r>
      <w:proofErr w:type="spellEnd"/>
      <w:r w:rsidRPr="0025206B">
        <w:t xml:space="preserve"> 67</w:t>
      </w:r>
      <w:r w:rsidRPr="0025206B">
        <w:noBreakHyphen/>
        <w:t xml:space="preserve">68) describing Achilles slaying </w:t>
      </w:r>
      <w:proofErr w:type="spellStart"/>
      <w:r w:rsidRPr="0025206B">
        <w:t>Thersites</w:t>
      </w:r>
      <w:proofErr w:type="spellEnd"/>
      <w:r w:rsidRPr="0025206B">
        <w:t xml:space="preserve"> as punishment for </w:t>
      </w:r>
      <w:proofErr w:type="spellStart"/>
      <w:r w:rsidRPr="0025206B">
        <w:t>unsuave</w:t>
      </w:r>
      <w:proofErr w:type="spellEnd"/>
      <w:r w:rsidRPr="0025206B">
        <w:t xml:space="preserve"> japes about the former’s eroticism for the dead </w:t>
      </w:r>
      <w:proofErr w:type="spellStart"/>
      <w:r w:rsidRPr="0025206B">
        <w:t>Penthesileia</w:t>
      </w:r>
      <w:proofErr w:type="spellEnd"/>
      <w:r w:rsidRPr="0025206B">
        <w:t>.</w:t>
      </w:r>
      <w:r w:rsidRPr="0025206B">
        <w:rPr>
          <w:rStyle w:val="FootnoteReference"/>
        </w:rPr>
        <w:footnoteReference w:id="19"/>
      </w:r>
      <w:r w:rsidRPr="0025206B">
        <w:t xml:space="preserve"> Then there is </w:t>
      </w:r>
      <w:proofErr w:type="spellStart"/>
      <w:r w:rsidRPr="0025206B">
        <w:t>Pherecydes</w:t>
      </w:r>
      <w:proofErr w:type="spellEnd"/>
      <w:r w:rsidRPr="0025206B">
        <w:t xml:space="preserve">’ contrasting </w:t>
      </w:r>
      <w:proofErr w:type="spellStart"/>
      <w:r w:rsidRPr="0025206B">
        <w:t>Thersites</w:t>
      </w:r>
      <w:proofErr w:type="spellEnd"/>
      <w:r w:rsidRPr="0025206B">
        <w:t xml:space="preserve">, kinsman to Diomedes, </w:t>
      </w:r>
      <w:r w:rsidRPr="0025206B">
        <w:lastRenderedPageBreak/>
        <w:t xml:space="preserve">bold participant in the </w:t>
      </w:r>
      <w:proofErr w:type="spellStart"/>
      <w:r w:rsidRPr="0025206B">
        <w:t>Calydonian</w:t>
      </w:r>
      <w:proofErr w:type="spellEnd"/>
      <w:r w:rsidRPr="0025206B">
        <w:t xml:space="preserve"> Boar-hunt together with other elite warriors, in consequence acquiring his physical disabilities  (cf. Nestor’s expedition: </w:t>
      </w:r>
      <w:r w:rsidRPr="0025206B">
        <w:rPr>
          <w:i/>
        </w:rPr>
        <w:t xml:space="preserve"> Il</w:t>
      </w:r>
      <w:r w:rsidRPr="0025206B">
        <w:t xml:space="preserve">. 1.245-84). What does this mean? More trajectories provide direction. </w:t>
      </w:r>
      <w:proofErr w:type="spellStart"/>
      <w:r w:rsidRPr="0025206B">
        <w:t>Thersites</w:t>
      </w:r>
      <w:proofErr w:type="spellEnd"/>
      <w:r w:rsidRPr="0025206B">
        <w:t xml:space="preserve">’ name (“bold, daring”) fits him both in Homer and </w:t>
      </w:r>
      <w:proofErr w:type="spellStart"/>
      <w:r w:rsidRPr="0025206B">
        <w:t>Pherecydes</w:t>
      </w:r>
      <w:proofErr w:type="spellEnd"/>
      <w:r w:rsidRPr="0025206B">
        <w:t>.</w:t>
      </w:r>
      <w:r w:rsidRPr="0025206B">
        <w:rPr>
          <w:rStyle w:val="FootnoteReference"/>
        </w:rPr>
        <w:footnoteReference w:id="20"/>
      </w:r>
      <w:r w:rsidRPr="0025206B">
        <w:t xml:space="preserve"> Homeric </w:t>
      </w:r>
      <w:proofErr w:type="spellStart"/>
      <w:r w:rsidRPr="0025206B">
        <w:t>Thersites</w:t>
      </w:r>
      <w:proofErr w:type="spellEnd"/>
      <w:r w:rsidRPr="0025206B">
        <w:t xml:space="preserve"> has a dearth of formulae with the added tang of several rare words and usages: α</w:t>
      </w:r>
      <w:proofErr w:type="spellStart"/>
      <w:r w:rsidRPr="0025206B">
        <w:t>ἴσχιστος</w:t>
      </w:r>
      <w:proofErr w:type="spellEnd"/>
      <w:r w:rsidRPr="0025206B">
        <w:t xml:space="preserve"> , </w:t>
      </w:r>
      <w:proofErr w:type="spellStart"/>
      <w:r w:rsidRPr="0025206B">
        <w:t>φολκὸς</w:t>
      </w:r>
      <w:proofErr w:type="spellEnd"/>
      <w:r w:rsidRPr="0025206B">
        <w:t xml:space="preserve"> , </w:t>
      </w:r>
      <w:proofErr w:type="spellStart"/>
      <w:r w:rsidRPr="0025206B">
        <w:t>φοξὸς</w:t>
      </w:r>
      <w:proofErr w:type="spellEnd"/>
      <w:r w:rsidRPr="0025206B">
        <w:t xml:space="preserve"> (216–219).</w:t>
      </w:r>
    </w:p>
    <w:p w14:paraId="5FAF1D6A" w14:textId="77777777" w:rsidR="000E2F55" w:rsidRPr="0025206B" w:rsidRDefault="000E2F55" w:rsidP="000E2F55">
      <w:pPr>
        <w:ind w:firstLine="360"/>
      </w:pPr>
      <w:r w:rsidRPr="0025206B">
        <w:t xml:space="preserve">All of this separates him from traditional epic language for warriors but makes him akin to the nasty </w:t>
      </w:r>
      <w:proofErr w:type="spellStart"/>
      <w:r w:rsidRPr="0025206B">
        <w:t>Irus</w:t>
      </w:r>
      <w:proofErr w:type="spellEnd"/>
      <w:r w:rsidRPr="0025206B">
        <w:t xml:space="preserve"> (</w:t>
      </w:r>
      <w:r w:rsidRPr="0025206B">
        <w:rPr>
          <w:i/>
        </w:rPr>
        <w:t>Od</w:t>
      </w:r>
      <w:r w:rsidRPr="0025206B">
        <w:t xml:space="preserve">. 18.1–31). His physical condition in Homer betokens physiognomic prejudices which have a long </w:t>
      </w:r>
      <w:proofErr w:type="spellStart"/>
      <w:r w:rsidRPr="0025206B">
        <w:t>Nachleben</w:t>
      </w:r>
      <w:proofErr w:type="spellEnd"/>
      <w:r w:rsidRPr="0025206B">
        <w:t xml:space="preserve"> in Greek literature (Plato </w:t>
      </w:r>
      <w:r w:rsidRPr="0025206B">
        <w:rPr>
          <w:i/>
        </w:rPr>
        <w:t>Rep</w:t>
      </w:r>
      <w:r w:rsidRPr="0025206B">
        <w:t xml:space="preserve">. 6.495c-6a); in contrast, </w:t>
      </w:r>
      <w:proofErr w:type="spellStart"/>
      <w:r w:rsidRPr="0025206B">
        <w:t>Pherecydes</w:t>
      </w:r>
      <w:proofErr w:type="spellEnd"/>
      <w:r w:rsidRPr="0025206B">
        <w:t xml:space="preserve"> presents his physical condition as an unfortunate consequence of </w:t>
      </w:r>
      <w:proofErr w:type="gramStart"/>
      <w:r w:rsidRPr="0025206B">
        <w:t>an</w:t>
      </w:r>
      <w:proofErr w:type="gramEnd"/>
      <w:r w:rsidRPr="0025206B">
        <w:t xml:space="preserve"> heroic hunt (</w:t>
      </w:r>
      <w:proofErr w:type="spellStart"/>
      <w:r w:rsidRPr="0025206B">
        <w:t>fr.</w:t>
      </w:r>
      <w:proofErr w:type="spellEnd"/>
      <w:r w:rsidRPr="0025206B">
        <w:t xml:space="preserve"> 123 Fowler = ∑ </w:t>
      </w:r>
      <w:r w:rsidRPr="0056144B">
        <w:rPr>
          <w:i/>
        </w:rPr>
        <w:t>Il</w:t>
      </w:r>
      <w:r w:rsidRPr="0025206B">
        <w:t xml:space="preserve">. 2.212b). Then there is chronology. With Homer’s mid eighth-century </w:t>
      </w:r>
      <w:r w:rsidRPr="0056144B">
        <w:rPr>
          <w:i/>
        </w:rPr>
        <w:t>floruit</w:t>
      </w:r>
      <w:r w:rsidRPr="0025206B">
        <w:t xml:space="preserve">, </w:t>
      </w:r>
      <w:proofErr w:type="spellStart"/>
      <w:r w:rsidRPr="0025206B">
        <w:t>Thersites</w:t>
      </w:r>
      <w:proofErr w:type="spellEnd"/>
      <w:r w:rsidRPr="0025206B">
        <w:t xml:space="preserve">’ temper and disabilities mirror nascent social discontents arising as the traditional warrior elite viewed with alarm the nascent hoplite line together with the attendant narrowing of gap between elite and commoners so omnipresent in the </w:t>
      </w:r>
      <w:r w:rsidRPr="0025206B">
        <w:rPr>
          <w:i/>
        </w:rPr>
        <w:t>Odyssey</w:t>
      </w:r>
      <w:r w:rsidRPr="0025206B">
        <w:t xml:space="preserve">. And, of course, not so many years later the transformation was complete, witness Archilochus (60D = 114 West) and the importance of armies-for-hire in the various Dorian tyrannies, a view which reaches critical mass in later decades and ultimately fell to the new warrior definition. Homer and </w:t>
      </w:r>
      <w:proofErr w:type="spellStart"/>
      <w:r w:rsidRPr="0025206B">
        <w:t>Pherecydes</w:t>
      </w:r>
      <w:proofErr w:type="spellEnd"/>
      <w:r w:rsidRPr="0025206B">
        <w:t xml:space="preserve">, then, could have a common source for </w:t>
      </w:r>
      <w:proofErr w:type="spellStart"/>
      <w:r w:rsidRPr="0025206B">
        <w:t>Thersites</w:t>
      </w:r>
      <w:proofErr w:type="spellEnd"/>
      <w:r w:rsidRPr="0025206B">
        <w:t>.</w:t>
      </w:r>
      <w:r w:rsidRPr="0025206B">
        <w:rPr>
          <w:rStyle w:val="FootnoteReference"/>
        </w:rPr>
        <w:footnoteReference w:id="21"/>
      </w:r>
      <w:r w:rsidRPr="0025206B">
        <w:t xml:space="preserve"> It is totally plausible, then, to have a bold man on </w:t>
      </w:r>
      <w:proofErr w:type="spellStart"/>
      <w:r w:rsidRPr="0025206B">
        <w:t>Pherecydes</w:t>
      </w:r>
      <w:proofErr w:type="spellEnd"/>
      <w:r w:rsidRPr="0025206B">
        <w:t>’ boar-hunt be bold in epic speech.</w:t>
      </w:r>
      <w:r w:rsidRPr="0025206B">
        <w:rPr>
          <w:rStyle w:val="FootnoteReference"/>
        </w:rPr>
        <w:footnoteReference w:id="22"/>
      </w:r>
      <w:r w:rsidRPr="0025206B">
        <w:t xml:space="preserve"> Consequently, in a world of oral traditions distinctly not global, quite literally, anything goes.</w:t>
      </w:r>
    </w:p>
    <w:p w14:paraId="5C08583A" w14:textId="77777777" w:rsidR="000E2F55" w:rsidRPr="0025206B" w:rsidRDefault="000E2F55" w:rsidP="000E2F55">
      <w:pPr>
        <w:ind w:firstLine="360"/>
      </w:pPr>
      <w:r w:rsidRPr="0025206B">
        <w:t xml:space="preserve">If you think you need this volume (you know who you are) you do; it constitutes a shining example of how good an edited collection of essays can be. Put differently, even at its high price, it is a bargain. Those jaundiced by the seemingly inexhaustible and unnecessary cacophony of handbooks, companions and edited volumes will find their faith in the genre restored. Interested bystanders would be well served by Malcolm Davies, </w:t>
      </w:r>
      <w:r w:rsidRPr="0025206B">
        <w:rPr>
          <w:i/>
        </w:rPr>
        <w:t>The Greek Epic Cycle</w:t>
      </w:r>
      <w:r w:rsidRPr="0025206B">
        <w:t xml:space="preserve"> (1989) but realize that much has happened in Epic Cycle studies since then.</w:t>
      </w:r>
      <w:r w:rsidRPr="0025206B">
        <w:rPr>
          <w:rStyle w:val="FootnoteReference"/>
        </w:rPr>
        <w:footnoteReference w:id="23"/>
      </w:r>
      <w:r w:rsidRPr="0025206B">
        <w:t xml:space="preserve"> Urgently needed: a smaller </w:t>
      </w:r>
      <w:r w:rsidRPr="0025206B">
        <w:lastRenderedPageBreak/>
        <w:t xml:space="preserve">edited volume to bridge the gap between Davies and the present volume. But be prepared to work very hard in a </w:t>
      </w:r>
      <w:proofErr w:type="spellStart"/>
      <w:r w:rsidRPr="0025206B">
        <w:t>Vergilian</w:t>
      </w:r>
      <w:proofErr w:type="spellEnd"/>
      <w:r w:rsidRPr="0025206B">
        <w:t xml:space="preserve"> </w:t>
      </w:r>
      <w:proofErr w:type="spellStart"/>
      <w:r w:rsidRPr="0025206B">
        <w:rPr>
          <w:i/>
        </w:rPr>
        <w:t>descensus</w:t>
      </w:r>
      <w:proofErr w:type="spellEnd"/>
      <w:r w:rsidRPr="0025206B">
        <w:t xml:space="preserve">, </w:t>
      </w:r>
      <w:proofErr w:type="spellStart"/>
      <w:r w:rsidRPr="0025206B">
        <w:rPr>
          <w:i/>
        </w:rPr>
        <w:t>difficilis</w:t>
      </w:r>
      <w:proofErr w:type="spellEnd"/>
      <w:r w:rsidRPr="0025206B">
        <w:t xml:space="preserve"> rather than </w:t>
      </w:r>
      <w:proofErr w:type="spellStart"/>
      <w:r w:rsidRPr="0025206B">
        <w:rPr>
          <w:i/>
        </w:rPr>
        <w:t>facilis</w:t>
      </w:r>
      <w:proofErr w:type="spellEnd"/>
      <w:r w:rsidRPr="0025206B">
        <w:t xml:space="preserve">. That </w:t>
      </w:r>
      <w:r w:rsidRPr="0025206B">
        <w:rPr>
          <w:i/>
        </w:rPr>
        <w:t xml:space="preserve">labor </w:t>
      </w:r>
      <w:proofErr w:type="spellStart"/>
      <w:r w:rsidRPr="0025206B">
        <w:rPr>
          <w:i/>
        </w:rPr>
        <w:t>improbus</w:t>
      </w:r>
      <w:proofErr w:type="spellEnd"/>
      <w:r w:rsidRPr="0025206B">
        <w:t xml:space="preserve"> will win new friends for studies of the Epic Cycle and what those studies can accomplish.</w:t>
      </w:r>
    </w:p>
    <w:p w14:paraId="472D986A" w14:textId="77777777" w:rsidR="000E2F55" w:rsidRPr="0049103B" w:rsidRDefault="000E2F55" w:rsidP="000E2F55">
      <w:pPr>
        <w:rPr>
          <w:rFonts w:ascii="Times New Roman" w:hAnsi="Times New Roman"/>
        </w:rPr>
      </w:pPr>
    </w:p>
    <w:p w14:paraId="3B3CF133" w14:textId="77777777" w:rsidR="000E2F55" w:rsidRPr="0025206B" w:rsidRDefault="000E2F55" w:rsidP="000E2F55">
      <w:pPr>
        <w:jc w:val="right"/>
        <w:outlineLvl w:val="0"/>
        <w:rPr>
          <w:smallCaps/>
        </w:rPr>
      </w:pPr>
      <w:r w:rsidRPr="0025206B">
        <w:rPr>
          <w:smallCaps/>
        </w:rPr>
        <w:t>C. Robert Phillips III</w:t>
      </w:r>
    </w:p>
    <w:p w14:paraId="2BFE1170" w14:textId="77777777" w:rsidR="000E2F55" w:rsidRPr="0025206B" w:rsidRDefault="000E2F55" w:rsidP="000E2F55">
      <w:pPr>
        <w:outlineLvl w:val="0"/>
        <w:rPr>
          <w:i/>
        </w:rPr>
      </w:pPr>
      <w:r w:rsidRPr="0025206B">
        <w:rPr>
          <w:i/>
        </w:rPr>
        <w:t>Lehigh University</w:t>
      </w:r>
      <w:r>
        <w:t>,</w:t>
      </w:r>
      <w:r w:rsidRPr="0025206B">
        <w:rPr>
          <w:i/>
        </w:rPr>
        <w:t xml:space="preserve"> </w:t>
      </w:r>
      <w:r w:rsidRPr="0025206B">
        <w:t>prof.robert.phillips@gmail.com</w:t>
      </w:r>
    </w:p>
    <w:p w14:paraId="4DC288A8" w14:textId="77777777" w:rsidR="00662E41" w:rsidRPr="000E2F55" w:rsidRDefault="00662E41" w:rsidP="000E2F55"/>
    <w:sectPr w:rsidR="00662E41" w:rsidRPr="000E2F55" w:rsidSect="00115FF1">
      <w:headerReference w:type="even" r:id="rId7"/>
      <w:headerReference w:type="default" r:id="rId8"/>
      <w:footerReference w:type="default" r:id="rId9"/>
      <w:headerReference w:type="first" r:id="rId10"/>
      <w:footerReference w:type="first" r:id="rId11"/>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7906" w14:textId="77777777" w:rsidR="006443DD" w:rsidRDefault="006443DD" w:rsidP="00A039F9">
      <w:r>
        <w:separator/>
      </w:r>
    </w:p>
  </w:endnote>
  <w:endnote w:type="continuationSeparator" w:id="0">
    <w:p w14:paraId="09EA59CA" w14:textId="77777777" w:rsidR="006443DD" w:rsidRDefault="006443DD"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no Pro Display">
    <w:panose1 w:val="02020502050506020403"/>
    <w:charset w:val="00"/>
    <w:family w:val="roman"/>
    <w:notTrueType/>
    <w:pitch w:val="variable"/>
    <w:sig w:usb0="60000287" w:usb1="00000001" w:usb2="00000000" w:usb3="00000000" w:csb0="0000019F" w:csb1="00000000"/>
  </w:font>
  <w:font w:name="GR Oxford">
    <w:altName w:val="Times New Roman"/>
    <w:charset w:val="00"/>
    <w:family w:val="auto"/>
    <w:pitch w:val="variable"/>
    <w:sig w:usb0="00000001" w:usb1="00000040" w:usb2="00000000" w:usb3="00000000" w:csb0="0000009B" w:csb1="00000000"/>
  </w:font>
  <w:font w:name="Bell MT">
    <w:panose1 w:val="02020503060305020303"/>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New Athena Unicode">
    <w:altName w:val="Corbel"/>
    <w:charset w:val="00"/>
    <w:family w:val="auto"/>
    <w:pitch w:val="variable"/>
    <w:sig w:usb0="E00022FF" w:usb1="5000E8FB" w:usb2="00000000" w:usb3="00000000" w:csb0="0000008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CA6B" w14:textId="77777777" w:rsidR="00A039F9" w:rsidRDefault="00A039F9" w:rsidP="00A039F9">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EAD8" w14:textId="77777777" w:rsidR="00A039F9" w:rsidRPr="0081566D" w:rsidRDefault="00A039F9" w:rsidP="00A039F9">
    <w:pPr>
      <w:pStyle w:val="Footer"/>
      <w:tabs>
        <w:tab w:val="clear" w:pos="468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CC83" w14:textId="77777777" w:rsidR="006443DD" w:rsidRPr="000C013D" w:rsidRDefault="006443DD" w:rsidP="000C013D">
      <w:pPr>
        <w:pStyle w:val="Footer"/>
      </w:pPr>
    </w:p>
  </w:footnote>
  <w:footnote w:type="continuationSeparator" w:id="0">
    <w:p w14:paraId="7453D7C3" w14:textId="77777777" w:rsidR="006443DD" w:rsidRPr="000C013D" w:rsidRDefault="006443DD" w:rsidP="000C013D">
      <w:r>
        <w:separator/>
      </w:r>
    </w:p>
  </w:footnote>
  <w:footnote w:id="1">
    <w:p w14:paraId="4CEFBC58"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Martin West, the scholar, needs no additional eulogy. He was my tutor for Greek literature in the Oxford Greats (</w:t>
      </w:r>
      <w:r w:rsidRPr="0025206B">
        <w:rPr>
          <w:rFonts w:cs="Times New Roman"/>
          <w:i/>
          <w:szCs w:val="18"/>
        </w:rPr>
        <w:t xml:space="preserve">Literae </w:t>
      </w:r>
      <w:proofErr w:type="spellStart"/>
      <w:r w:rsidRPr="0025206B">
        <w:rPr>
          <w:rFonts w:cs="Times New Roman"/>
          <w:i/>
          <w:szCs w:val="18"/>
        </w:rPr>
        <w:t>Humaniores</w:t>
      </w:r>
      <w:proofErr w:type="spellEnd"/>
      <w:r w:rsidRPr="0025206B">
        <w:rPr>
          <w:rFonts w:cs="Times New Roman"/>
          <w:i/>
          <w:szCs w:val="18"/>
        </w:rPr>
        <w:t>)</w:t>
      </w:r>
      <w:r w:rsidRPr="0025206B">
        <w:rPr>
          <w:rFonts w:cs="Times New Roman"/>
          <w:szCs w:val="18"/>
        </w:rPr>
        <w:t xml:space="preserve"> curriculum, later a valued colleague, friend and munificent host on my research trips to Oxford. I pay homage to Martin West the person notable for his puckish sense of humor as I inflict a Latin epitaph on him. </w:t>
      </w:r>
      <w:r>
        <w:rPr>
          <w:rFonts w:cs="Times New Roman"/>
          <w:szCs w:val="18"/>
        </w:rPr>
        <w:t xml:space="preserve">My thanks to Joel Christensen for valuable assistance </w:t>
      </w:r>
      <w:r w:rsidRPr="00FF3DCD">
        <w:rPr>
          <w:rFonts w:cs="Times New Roman"/>
          <w:i/>
          <w:szCs w:val="18"/>
        </w:rPr>
        <w:t>passim</w:t>
      </w:r>
      <w:r>
        <w:rPr>
          <w:rFonts w:cs="Times New Roman"/>
          <w:szCs w:val="18"/>
        </w:rPr>
        <w:t>.</w:t>
      </w:r>
    </w:p>
  </w:footnote>
  <w:footnote w:id="2">
    <w:p w14:paraId="241960D3"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An even more miserable example: </w:t>
      </w:r>
      <w:proofErr w:type="spellStart"/>
      <w:r w:rsidRPr="0025206B">
        <w:rPr>
          <w:rFonts w:cs="Times New Roman"/>
          <w:i/>
          <w:szCs w:val="18"/>
        </w:rPr>
        <w:t>Oedipodea</w:t>
      </w:r>
      <w:proofErr w:type="spellEnd"/>
      <w:r w:rsidRPr="0025206B">
        <w:rPr>
          <w:rFonts w:cs="Times New Roman"/>
          <w:szCs w:val="18"/>
        </w:rPr>
        <w:t xml:space="preserve"> and </w:t>
      </w:r>
      <w:proofErr w:type="spellStart"/>
      <w:r w:rsidRPr="0025206B">
        <w:rPr>
          <w:rFonts w:cs="Times New Roman"/>
          <w:i/>
          <w:szCs w:val="18"/>
        </w:rPr>
        <w:t>Epigonoi</w:t>
      </w:r>
      <w:proofErr w:type="spellEnd"/>
      <w:r w:rsidRPr="0025206B">
        <w:rPr>
          <w:rFonts w:cs="Times New Roman"/>
          <w:szCs w:val="18"/>
        </w:rPr>
        <w:t xml:space="preserve"> combined offer four lines.</w:t>
      </w:r>
    </w:p>
  </w:footnote>
  <w:footnote w:id="3">
    <w:p w14:paraId="7CA444DB"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Discussion of authorship is not news; </w:t>
      </w:r>
      <w:proofErr w:type="spellStart"/>
      <w:r w:rsidRPr="0025206B">
        <w:rPr>
          <w:rFonts w:cs="Times New Roman"/>
          <w:szCs w:val="18"/>
        </w:rPr>
        <w:t>Wilamowitz</w:t>
      </w:r>
      <w:proofErr w:type="spellEnd"/>
      <w:r w:rsidRPr="0025206B">
        <w:rPr>
          <w:rFonts w:cs="Times New Roman"/>
          <w:szCs w:val="18"/>
        </w:rPr>
        <w:t>, among others, raised the issue long ago: “</w:t>
      </w:r>
      <w:proofErr w:type="spellStart"/>
      <w:r w:rsidRPr="0025206B">
        <w:rPr>
          <w:rFonts w:cs="Times New Roman"/>
          <w:szCs w:val="18"/>
        </w:rPr>
        <w:t>nennung</w:t>
      </w:r>
      <w:proofErr w:type="spellEnd"/>
      <w:r w:rsidRPr="0025206B">
        <w:rPr>
          <w:rFonts w:cs="Times New Roman"/>
          <w:szCs w:val="18"/>
        </w:rPr>
        <w:t xml:space="preserve"> </w:t>
      </w:r>
      <w:proofErr w:type="spellStart"/>
      <w:r w:rsidRPr="0025206B">
        <w:rPr>
          <w:rFonts w:cs="Times New Roman"/>
          <w:szCs w:val="18"/>
        </w:rPr>
        <w:t>bestimmter</w:t>
      </w:r>
      <w:proofErr w:type="spellEnd"/>
      <w:r w:rsidRPr="0025206B">
        <w:rPr>
          <w:rFonts w:cs="Times New Roman"/>
          <w:szCs w:val="18"/>
        </w:rPr>
        <w:t xml:space="preserve"> </w:t>
      </w:r>
      <w:proofErr w:type="spellStart"/>
      <w:r w:rsidRPr="0025206B">
        <w:rPr>
          <w:rFonts w:cs="Times New Roman"/>
          <w:szCs w:val="18"/>
        </w:rPr>
        <w:t>verfasser</w:t>
      </w:r>
      <w:proofErr w:type="spellEnd"/>
      <w:r w:rsidRPr="0025206B">
        <w:rPr>
          <w:rFonts w:cs="Times New Roman"/>
          <w:szCs w:val="18"/>
        </w:rPr>
        <w:t xml:space="preserve"> </w:t>
      </w:r>
      <w:proofErr w:type="spellStart"/>
      <w:r w:rsidRPr="0025206B">
        <w:rPr>
          <w:rFonts w:cs="Times New Roman"/>
          <w:szCs w:val="18"/>
        </w:rPr>
        <w:t>ist</w:t>
      </w:r>
      <w:proofErr w:type="spellEnd"/>
      <w:r w:rsidRPr="0025206B">
        <w:rPr>
          <w:rFonts w:cs="Times New Roman"/>
          <w:szCs w:val="18"/>
        </w:rPr>
        <w:t xml:space="preserve"> </w:t>
      </w:r>
      <w:proofErr w:type="spellStart"/>
      <w:r w:rsidRPr="0025206B">
        <w:rPr>
          <w:rFonts w:cs="Times New Roman"/>
          <w:szCs w:val="18"/>
        </w:rPr>
        <w:t>eine</w:t>
      </w:r>
      <w:proofErr w:type="spellEnd"/>
      <w:r w:rsidRPr="0025206B">
        <w:rPr>
          <w:rFonts w:cs="Times New Roman"/>
          <w:szCs w:val="18"/>
        </w:rPr>
        <w:t xml:space="preserve"> </w:t>
      </w:r>
      <w:proofErr w:type="spellStart"/>
      <w:r w:rsidRPr="0025206B">
        <w:rPr>
          <w:rFonts w:cs="Times New Roman"/>
          <w:szCs w:val="18"/>
        </w:rPr>
        <w:t>ganz</w:t>
      </w:r>
      <w:proofErr w:type="spellEnd"/>
      <w:r w:rsidRPr="0025206B">
        <w:rPr>
          <w:rFonts w:cs="Times New Roman"/>
          <w:szCs w:val="18"/>
        </w:rPr>
        <w:t xml:space="preserve"> </w:t>
      </w:r>
      <w:proofErr w:type="spellStart"/>
      <w:r w:rsidRPr="0025206B">
        <w:rPr>
          <w:rFonts w:cs="Times New Roman"/>
          <w:szCs w:val="18"/>
        </w:rPr>
        <w:t>seltene</w:t>
      </w:r>
      <w:proofErr w:type="spellEnd"/>
      <w:r w:rsidRPr="0025206B">
        <w:rPr>
          <w:rFonts w:cs="Times New Roman"/>
          <w:szCs w:val="18"/>
        </w:rPr>
        <w:t xml:space="preserve"> </w:t>
      </w:r>
      <w:proofErr w:type="spellStart"/>
      <w:r w:rsidRPr="0025206B">
        <w:rPr>
          <w:rFonts w:cs="Times New Roman"/>
          <w:szCs w:val="18"/>
        </w:rPr>
        <w:t>ausnahme</w:t>
      </w:r>
      <w:proofErr w:type="spellEnd"/>
      <w:r w:rsidRPr="0025206B">
        <w:rPr>
          <w:rFonts w:cs="Times New Roman"/>
          <w:szCs w:val="18"/>
        </w:rPr>
        <w:t xml:space="preserve">”. </w:t>
      </w:r>
      <w:proofErr w:type="spellStart"/>
      <w:r w:rsidRPr="0025206B">
        <w:rPr>
          <w:rFonts w:cs="Times New Roman"/>
          <w:i/>
          <w:szCs w:val="18"/>
        </w:rPr>
        <w:t>Homerische</w:t>
      </w:r>
      <w:proofErr w:type="spellEnd"/>
      <w:r w:rsidRPr="0025206B">
        <w:rPr>
          <w:rFonts w:cs="Times New Roman"/>
          <w:i/>
          <w:szCs w:val="18"/>
        </w:rPr>
        <w:t xml:space="preserve"> </w:t>
      </w:r>
      <w:proofErr w:type="spellStart"/>
      <w:r w:rsidRPr="0025206B">
        <w:rPr>
          <w:rFonts w:cs="Times New Roman"/>
          <w:i/>
          <w:szCs w:val="18"/>
        </w:rPr>
        <w:t>Untersuchungen</w:t>
      </w:r>
      <w:proofErr w:type="spellEnd"/>
      <w:r w:rsidRPr="0025206B">
        <w:rPr>
          <w:rFonts w:cs="Times New Roman"/>
          <w:szCs w:val="18"/>
        </w:rPr>
        <w:t xml:space="preserve"> (1884) 346 </w:t>
      </w:r>
      <w:r>
        <w:rPr>
          <w:rFonts w:cs="Times New Roman"/>
          <w:szCs w:val="18"/>
        </w:rPr>
        <w:t>n. 28</w:t>
      </w:r>
      <w:r w:rsidRPr="0025206B">
        <w:rPr>
          <w:rFonts w:cs="Times New Roman"/>
          <w:szCs w:val="18"/>
        </w:rPr>
        <w:t xml:space="preserve">; </w:t>
      </w:r>
      <w:proofErr w:type="gramStart"/>
      <w:r w:rsidRPr="0025206B">
        <w:rPr>
          <w:rFonts w:cs="Times New Roman"/>
          <w:szCs w:val="18"/>
        </w:rPr>
        <w:t>likewise</w:t>
      </w:r>
      <w:proofErr w:type="gramEnd"/>
      <w:r w:rsidRPr="0025206B">
        <w:rPr>
          <w:rFonts w:cs="Times New Roman"/>
          <w:szCs w:val="18"/>
        </w:rPr>
        <w:t xml:space="preserve"> </w:t>
      </w:r>
      <w:proofErr w:type="spellStart"/>
      <w:r w:rsidRPr="0025206B">
        <w:rPr>
          <w:rFonts w:cs="Times New Roman"/>
          <w:szCs w:val="18"/>
        </w:rPr>
        <w:t>Welcker</w:t>
      </w:r>
      <w:proofErr w:type="spellEnd"/>
      <w:r w:rsidRPr="0025206B">
        <w:rPr>
          <w:rFonts w:cs="Times New Roman"/>
          <w:szCs w:val="18"/>
        </w:rPr>
        <w:t xml:space="preserve">, see my “Classical Scholarship against Its History,” </w:t>
      </w:r>
      <w:r w:rsidRPr="0025206B">
        <w:rPr>
          <w:rFonts w:cs="Times New Roman"/>
          <w:i/>
          <w:szCs w:val="18"/>
        </w:rPr>
        <w:t>AJP</w:t>
      </w:r>
      <w:r w:rsidRPr="0025206B">
        <w:rPr>
          <w:rFonts w:cs="Times New Roman"/>
          <w:szCs w:val="18"/>
        </w:rPr>
        <w:t xml:space="preserve"> 110 (1989) at 653–654.</w:t>
      </w:r>
    </w:p>
  </w:footnote>
  <w:footnote w:id="4">
    <w:p w14:paraId="44F28D54"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There is, for example, a Trojan Cycle and a Theban Cycle and a “Universal” Cycle, on which see West in the reviewed volume “The Formation of the Epic Cycle,” 96–107 at 101–104 with his Loeb </w:t>
      </w:r>
      <w:r w:rsidRPr="0025206B">
        <w:rPr>
          <w:rFonts w:cs="Times New Roman"/>
          <w:i/>
          <w:szCs w:val="18"/>
        </w:rPr>
        <w:t xml:space="preserve">Greek Epic Fragments </w:t>
      </w:r>
      <w:r w:rsidRPr="0025206B">
        <w:rPr>
          <w:rFonts w:cs="Times New Roman"/>
          <w:szCs w:val="18"/>
        </w:rPr>
        <w:t>(2003) 3-13; “</w:t>
      </w:r>
      <w:r w:rsidRPr="00610E2A">
        <w:rPr>
          <w:rFonts w:cs="Times New Roman"/>
          <w:szCs w:val="18"/>
        </w:rPr>
        <w:t>‘</w:t>
      </w:r>
      <w:proofErr w:type="spellStart"/>
      <w:r w:rsidRPr="0025206B">
        <w:rPr>
          <w:rFonts w:cs="Times New Roman"/>
          <w:szCs w:val="18"/>
        </w:rPr>
        <w:t>Eumelos</w:t>
      </w:r>
      <w:proofErr w:type="spellEnd"/>
      <w:r w:rsidRPr="0025206B">
        <w:rPr>
          <w:rFonts w:cs="Times New Roman"/>
          <w:szCs w:val="18"/>
        </w:rPr>
        <w:t xml:space="preserve">’: A Corinthian Epic Cycle?” </w:t>
      </w:r>
      <w:r w:rsidRPr="0025206B">
        <w:rPr>
          <w:rFonts w:cs="Times New Roman"/>
          <w:i/>
          <w:szCs w:val="18"/>
        </w:rPr>
        <w:t>JHS</w:t>
      </w:r>
      <w:r w:rsidRPr="0025206B">
        <w:rPr>
          <w:rFonts w:cs="Times New Roman"/>
          <w:szCs w:val="18"/>
        </w:rPr>
        <w:t xml:space="preserve"> 122 (2002) 109–33; Cf. “Introduction” to the current volume, 5-6 citing </w:t>
      </w:r>
      <w:r w:rsidRPr="0025206B">
        <w:rPr>
          <w:rFonts w:cs="Times New Roman"/>
          <w:i/>
          <w:szCs w:val="18"/>
        </w:rPr>
        <w:t>IG</w:t>
      </w:r>
      <w:r w:rsidRPr="0025206B">
        <w:rPr>
          <w:rFonts w:cs="Times New Roman"/>
          <w:szCs w:val="18"/>
        </w:rPr>
        <w:t xml:space="preserve"> 14.1292, on which see McLeod, </w:t>
      </w:r>
      <w:r w:rsidRPr="0025206B">
        <w:rPr>
          <w:rFonts w:cs="Times New Roman"/>
          <w:i/>
          <w:szCs w:val="18"/>
        </w:rPr>
        <w:t>TAPA</w:t>
      </w:r>
      <w:r w:rsidRPr="0025206B">
        <w:rPr>
          <w:rFonts w:cs="Times New Roman"/>
          <w:szCs w:val="18"/>
        </w:rPr>
        <w:t xml:space="preserve"> 115 (1985) 153–65. </w:t>
      </w:r>
    </w:p>
  </w:footnote>
  <w:footnote w:id="5">
    <w:p w14:paraId="2824AE74"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M. McDonnell, </w:t>
      </w:r>
      <w:r w:rsidRPr="0025206B">
        <w:rPr>
          <w:rFonts w:cs="Times New Roman"/>
          <w:i/>
          <w:szCs w:val="18"/>
        </w:rPr>
        <w:t>CP</w:t>
      </w:r>
      <w:r w:rsidRPr="0025206B">
        <w:rPr>
          <w:rFonts w:cs="Times New Roman"/>
          <w:szCs w:val="18"/>
        </w:rPr>
        <w:t xml:space="preserve"> 92 (1997) 202 on early Rome and Livy; George </w:t>
      </w:r>
      <w:proofErr w:type="spellStart"/>
      <w:r w:rsidRPr="0025206B">
        <w:rPr>
          <w:rFonts w:cs="Times New Roman"/>
          <w:szCs w:val="18"/>
        </w:rPr>
        <w:t>Cawkwell</w:t>
      </w:r>
      <w:proofErr w:type="spellEnd"/>
      <w:r w:rsidRPr="0025206B">
        <w:rPr>
          <w:rFonts w:cs="Times New Roman"/>
          <w:szCs w:val="18"/>
        </w:rPr>
        <w:t xml:space="preserve">, </w:t>
      </w:r>
      <w:r w:rsidRPr="0025206B">
        <w:rPr>
          <w:rFonts w:cs="Times New Roman"/>
          <w:i/>
          <w:szCs w:val="18"/>
        </w:rPr>
        <w:t>in</w:t>
      </w:r>
      <w:r w:rsidRPr="0025206B">
        <w:rPr>
          <w:rFonts w:cs="Times New Roman"/>
          <w:szCs w:val="18"/>
        </w:rPr>
        <w:t xml:space="preserve"> </w:t>
      </w:r>
      <w:r w:rsidRPr="0025206B">
        <w:rPr>
          <w:rFonts w:cs="Times New Roman"/>
          <w:i/>
          <w:szCs w:val="18"/>
        </w:rPr>
        <w:t>verb</w:t>
      </w:r>
      <w:r w:rsidRPr="0025206B">
        <w:rPr>
          <w:rFonts w:cs="Times New Roman"/>
          <w:szCs w:val="18"/>
        </w:rPr>
        <w:t>. on archaic Greek history.</w:t>
      </w:r>
    </w:p>
  </w:footnote>
  <w:footnote w:id="6">
    <w:p w14:paraId="224550F0"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Gottlieb Wilhelm </w:t>
      </w:r>
      <w:proofErr w:type="spellStart"/>
      <w:r w:rsidRPr="0025206B">
        <w:rPr>
          <w:rFonts w:cs="Times New Roman"/>
          <w:szCs w:val="18"/>
        </w:rPr>
        <w:t>Rabener</w:t>
      </w:r>
      <w:proofErr w:type="spellEnd"/>
      <w:r w:rsidRPr="0025206B">
        <w:rPr>
          <w:rFonts w:cs="Times New Roman"/>
          <w:szCs w:val="18"/>
        </w:rPr>
        <w:t xml:space="preserve">, </w:t>
      </w:r>
      <w:proofErr w:type="spellStart"/>
      <w:r w:rsidRPr="0025206B">
        <w:rPr>
          <w:rFonts w:cs="Times New Roman"/>
          <w:i/>
          <w:szCs w:val="18"/>
        </w:rPr>
        <w:t>Hinkmars</w:t>
      </w:r>
      <w:proofErr w:type="spellEnd"/>
      <w:r w:rsidRPr="0025206B">
        <w:rPr>
          <w:rFonts w:cs="Times New Roman"/>
          <w:i/>
          <w:szCs w:val="18"/>
        </w:rPr>
        <w:t xml:space="preserve"> von </w:t>
      </w:r>
      <w:proofErr w:type="spellStart"/>
      <w:r w:rsidRPr="0025206B">
        <w:rPr>
          <w:rFonts w:cs="Times New Roman"/>
          <w:i/>
          <w:szCs w:val="18"/>
        </w:rPr>
        <w:t>Repkow</w:t>
      </w:r>
      <w:proofErr w:type="spellEnd"/>
      <w:r w:rsidRPr="0025206B">
        <w:rPr>
          <w:rFonts w:cs="Times New Roman"/>
          <w:i/>
          <w:szCs w:val="18"/>
        </w:rPr>
        <w:t xml:space="preserve"> </w:t>
      </w:r>
      <w:proofErr w:type="spellStart"/>
      <w:r w:rsidRPr="0025206B">
        <w:rPr>
          <w:rFonts w:cs="Times New Roman"/>
          <w:i/>
          <w:szCs w:val="18"/>
        </w:rPr>
        <w:t>Noten</w:t>
      </w:r>
      <w:proofErr w:type="spellEnd"/>
      <w:r w:rsidRPr="0025206B">
        <w:rPr>
          <w:rFonts w:cs="Times New Roman"/>
          <w:i/>
          <w:szCs w:val="18"/>
        </w:rPr>
        <w:t xml:space="preserve"> </w:t>
      </w:r>
      <w:proofErr w:type="spellStart"/>
      <w:r w:rsidRPr="0025206B">
        <w:rPr>
          <w:rFonts w:cs="Times New Roman"/>
          <w:i/>
          <w:szCs w:val="18"/>
        </w:rPr>
        <w:t>ohne</w:t>
      </w:r>
      <w:proofErr w:type="spellEnd"/>
      <w:r w:rsidRPr="0025206B">
        <w:rPr>
          <w:rFonts w:cs="Times New Roman"/>
          <w:i/>
          <w:szCs w:val="18"/>
        </w:rPr>
        <w:t xml:space="preserve"> Text</w:t>
      </w:r>
      <w:r w:rsidRPr="0025206B">
        <w:rPr>
          <w:rFonts w:cs="Times New Roman"/>
          <w:szCs w:val="18"/>
        </w:rPr>
        <w:t xml:space="preserve"> </w:t>
      </w:r>
      <w:r>
        <w:rPr>
          <w:rFonts w:cs="Times New Roman"/>
          <w:szCs w:val="18"/>
        </w:rPr>
        <w:t>(</w:t>
      </w:r>
      <w:r w:rsidRPr="0025206B">
        <w:rPr>
          <w:rFonts w:cs="Times New Roman"/>
          <w:szCs w:val="18"/>
        </w:rPr>
        <w:t>1743</w:t>
      </w:r>
      <w:r>
        <w:rPr>
          <w:rFonts w:cs="Times New Roman"/>
          <w:szCs w:val="18"/>
        </w:rPr>
        <w:t>)</w:t>
      </w:r>
      <w:r w:rsidRPr="0025206B">
        <w:rPr>
          <w:rFonts w:cs="Times New Roman"/>
          <w:szCs w:val="18"/>
        </w:rPr>
        <w:t xml:space="preserve">; more recently a novel, Mark Dunn, </w:t>
      </w:r>
      <w:r w:rsidRPr="0025206B">
        <w:rPr>
          <w:rFonts w:cs="Times New Roman"/>
          <w:i/>
          <w:szCs w:val="18"/>
        </w:rPr>
        <w:t>Ibid</w:t>
      </w:r>
      <w:r w:rsidRPr="0025206B">
        <w:rPr>
          <w:rFonts w:cs="Times New Roman"/>
          <w:szCs w:val="18"/>
        </w:rPr>
        <w:t>. (2004).</w:t>
      </w:r>
    </w:p>
  </w:footnote>
  <w:footnote w:id="7">
    <w:p w14:paraId="583ED4E3"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Mary Beard, “Re-reading (Vestal) Virginity,” in Richard Hawley &amp; Barbara </w:t>
      </w:r>
      <w:proofErr w:type="spellStart"/>
      <w:r w:rsidRPr="0025206B">
        <w:rPr>
          <w:rFonts w:cs="Times New Roman"/>
          <w:szCs w:val="18"/>
        </w:rPr>
        <w:t>Levick</w:t>
      </w:r>
      <w:proofErr w:type="spellEnd"/>
      <w:r w:rsidRPr="0025206B">
        <w:rPr>
          <w:rFonts w:cs="Times New Roman"/>
          <w:szCs w:val="18"/>
        </w:rPr>
        <w:t xml:space="preserve">, eds., </w:t>
      </w:r>
      <w:r w:rsidRPr="0025206B">
        <w:rPr>
          <w:rFonts w:cs="Times New Roman"/>
          <w:i/>
          <w:szCs w:val="18"/>
        </w:rPr>
        <w:t>Women in antiquity. New assessments</w:t>
      </w:r>
      <w:r>
        <w:rPr>
          <w:rFonts w:cs="Times New Roman"/>
          <w:szCs w:val="18"/>
        </w:rPr>
        <w:t xml:space="preserve"> (1995) 166–</w:t>
      </w:r>
      <w:r w:rsidRPr="0025206B">
        <w:rPr>
          <w:rFonts w:cs="Times New Roman"/>
          <w:szCs w:val="18"/>
        </w:rPr>
        <w:t>177 at 173.</w:t>
      </w:r>
    </w:p>
  </w:footnote>
  <w:footnote w:id="8">
    <w:p w14:paraId="7D79F02A"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w:t>
      </w:r>
      <w:r>
        <w:rPr>
          <w:rFonts w:cs="Times New Roman"/>
          <w:szCs w:val="18"/>
        </w:rPr>
        <w:t xml:space="preserve">See </w:t>
      </w:r>
      <w:proofErr w:type="spellStart"/>
      <w:r w:rsidRPr="0025206B">
        <w:rPr>
          <w:rFonts w:cs="Times New Roman"/>
          <w:i/>
          <w:szCs w:val="18"/>
        </w:rPr>
        <w:t>Philologia</w:t>
      </w:r>
      <w:proofErr w:type="spellEnd"/>
      <w:r w:rsidRPr="0025206B">
        <w:rPr>
          <w:rFonts w:cs="Times New Roman"/>
          <w:i/>
          <w:szCs w:val="18"/>
        </w:rPr>
        <w:t xml:space="preserve"> Antiqua</w:t>
      </w:r>
      <w:r w:rsidRPr="0025206B">
        <w:rPr>
          <w:rFonts w:cs="Times New Roman"/>
          <w:szCs w:val="18"/>
        </w:rPr>
        <w:t xml:space="preserve"> 7 (2014) </w:t>
      </w:r>
      <w:r w:rsidRPr="0025206B">
        <w:rPr>
          <w:rFonts w:cs="Times New Roman"/>
          <w:i/>
          <w:szCs w:val="18"/>
        </w:rPr>
        <w:t xml:space="preserve">Studies on the Greek Epic Cycle </w:t>
      </w:r>
      <w:proofErr w:type="spellStart"/>
      <w:r w:rsidRPr="0025206B">
        <w:rPr>
          <w:rFonts w:cs="Times New Roman"/>
          <w:i/>
          <w:szCs w:val="18"/>
        </w:rPr>
        <w:t>Cycle</w:t>
      </w:r>
      <w:proofErr w:type="spellEnd"/>
      <w:r w:rsidRPr="0025206B">
        <w:rPr>
          <w:rFonts w:cs="Times New Roman"/>
          <w:szCs w:val="18"/>
        </w:rPr>
        <w:t xml:space="preserve"> (continued in 8 </w:t>
      </w:r>
      <w:r>
        <w:rPr>
          <w:rFonts w:cs="Times New Roman"/>
          <w:szCs w:val="18"/>
        </w:rPr>
        <w:t>(</w:t>
      </w:r>
      <w:r w:rsidRPr="0025206B">
        <w:rPr>
          <w:rFonts w:cs="Times New Roman"/>
          <w:szCs w:val="18"/>
        </w:rPr>
        <w:t>2015</w:t>
      </w:r>
      <w:r>
        <w:rPr>
          <w:rFonts w:cs="Times New Roman"/>
          <w:szCs w:val="18"/>
        </w:rPr>
        <w:t>))</w:t>
      </w:r>
      <w:r w:rsidRPr="0025206B">
        <w:rPr>
          <w:rFonts w:cs="Times New Roman"/>
          <w:szCs w:val="18"/>
        </w:rPr>
        <w:t xml:space="preserve"> with valuable introduction by G. </w:t>
      </w:r>
      <w:proofErr w:type="spellStart"/>
      <w:r w:rsidRPr="0025206B">
        <w:rPr>
          <w:rFonts w:cs="Times New Roman"/>
          <w:szCs w:val="18"/>
        </w:rPr>
        <w:t>Scafoglio</w:t>
      </w:r>
      <w:proofErr w:type="spellEnd"/>
      <w:r w:rsidRPr="0025206B">
        <w:rPr>
          <w:rFonts w:cs="Times New Roman"/>
          <w:szCs w:val="18"/>
        </w:rPr>
        <w:t xml:space="preserve"> 11–13; Elton T. E. Barker, Joel P. Christensen, “Odysseus's </w:t>
      </w:r>
      <w:proofErr w:type="spellStart"/>
      <w:r w:rsidRPr="0025206B">
        <w:rPr>
          <w:rFonts w:cs="Times New Roman"/>
          <w:szCs w:val="18"/>
        </w:rPr>
        <w:t>Nostos</w:t>
      </w:r>
      <w:proofErr w:type="spellEnd"/>
      <w:r w:rsidRPr="0025206B">
        <w:rPr>
          <w:rFonts w:cs="Times New Roman"/>
          <w:szCs w:val="18"/>
        </w:rPr>
        <w:t xml:space="preserve"> and the </w:t>
      </w:r>
      <w:r w:rsidRPr="0025206B">
        <w:rPr>
          <w:rFonts w:cs="Times New Roman"/>
          <w:i/>
          <w:szCs w:val="18"/>
        </w:rPr>
        <w:t>Odyssey</w:t>
      </w:r>
      <w:r w:rsidRPr="0025206B">
        <w:rPr>
          <w:rFonts w:cs="Times New Roman"/>
          <w:szCs w:val="18"/>
        </w:rPr>
        <w:t xml:space="preserve">'s </w:t>
      </w:r>
      <w:proofErr w:type="spellStart"/>
      <w:r w:rsidRPr="0025206B">
        <w:rPr>
          <w:rFonts w:cs="Times New Roman"/>
          <w:szCs w:val="18"/>
        </w:rPr>
        <w:t>Nostoi</w:t>
      </w:r>
      <w:proofErr w:type="spellEnd"/>
      <w:r w:rsidRPr="0025206B">
        <w:rPr>
          <w:rFonts w:cs="Times New Roman"/>
          <w:szCs w:val="18"/>
        </w:rPr>
        <w:t xml:space="preserve">: Rivalry within the Epic Cycle” 85–110; Issue 6, </w:t>
      </w:r>
      <w:r w:rsidRPr="0025206B">
        <w:rPr>
          <w:rFonts w:cs="Times New Roman"/>
          <w:i/>
          <w:szCs w:val="18"/>
        </w:rPr>
        <w:t>Reflecting on the Epic Cycle</w:t>
      </w:r>
      <w:r w:rsidRPr="0025206B">
        <w:rPr>
          <w:rFonts w:cs="Times New Roman"/>
          <w:szCs w:val="18"/>
        </w:rPr>
        <w:t xml:space="preserve"> of Classics@ from the Center for Hellenic Studies</w:t>
      </w:r>
      <w:r>
        <w:rPr>
          <w:rFonts w:cs="Times New Roman"/>
          <w:szCs w:val="18"/>
        </w:rPr>
        <w:t>:</w:t>
      </w:r>
      <w:r w:rsidRPr="0025206B">
        <w:rPr>
          <w:rFonts w:cs="Times New Roman"/>
          <w:szCs w:val="18"/>
        </w:rPr>
        <w:t xml:space="preserve"> http://chs.harvard.edu/CHS/article/display/3232 accessed 1 June 2016.</w:t>
      </w:r>
    </w:p>
  </w:footnote>
  <w:footnote w:id="9">
    <w:p w14:paraId="49FF6415"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w:t>
      </w:r>
      <w:r w:rsidRPr="0025206B">
        <w:rPr>
          <w:rFonts w:cs="Times New Roman"/>
          <w:i/>
          <w:szCs w:val="18"/>
        </w:rPr>
        <w:t>The Epic Cycle</w:t>
      </w:r>
      <w:r w:rsidRPr="0025206B">
        <w:rPr>
          <w:rFonts w:cs="Times New Roman"/>
          <w:szCs w:val="18"/>
        </w:rPr>
        <w:t xml:space="preserve"> (Oxford, 2013) 47-51 at 50.</w:t>
      </w:r>
    </w:p>
  </w:footnote>
  <w:footnote w:id="10">
    <w:p w14:paraId="65AF57F6"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w:t>
      </w:r>
      <w:proofErr w:type="spellStart"/>
      <w:r w:rsidRPr="0025206B">
        <w:rPr>
          <w:rFonts w:cs="Times New Roman"/>
          <w:szCs w:val="18"/>
        </w:rPr>
        <w:t>Gaertner</w:t>
      </w:r>
      <w:proofErr w:type="spellEnd"/>
      <w:r w:rsidRPr="0025206B">
        <w:rPr>
          <w:rFonts w:cs="Times New Roman"/>
          <w:szCs w:val="18"/>
        </w:rPr>
        <w:t xml:space="preserve"> is excellent on these points: 543-50. Esp. 546 n</w:t>
      </w:r>
      <w:r>
        <w:rPr>
          <w:rFonts w:cs="Times New Roman"/>
          <w:szCs w:val="18"/>
        </w:rPr>
        <w:t xml:space="preserve">. </w:t>
      </w:r>
      <w:r w:rsidRPr="0025206B">
        <w:rPr>
          <w:rFonts w:cs="Times New Roman"/>
          <w:szCs w:val="18"/>
        </w:rPr>
        <w:t>18; cf. West (previous note) 48: “He [</w:t>
      </w:r>
      <w:r w:rsidRPr="0056144B">
        <w:rPr>
          <w:rFonts w:cs="Times New Roman"/>
          <w:szCs w:val="18"/>
        </w:rPr>
        <w:t>sc</w:t>
      </w:r>
      <w:r w:rsidRPr="0025206B">
        <w:rPr>
          <w:rFonts w:cs="Times New Roman"/>
          <w:szCs w:val="18"/>
        </w:rPr>
        <w:t xml:space="preserve">. Vergil] could not have managed with the epitomes alone.” </w:t>
      </w:r>
      <w:proofErr w:type="spellStart"/>
      <w:r w:rsidRPr="0025206B">
        <w:rPr>
          <w:rFonts w:cs="Times New Roman"/>
          <w:szCs w:val="18"/>
        </w:rPr>
        <w:t>Apollodorus</w:t>
      </w:r>
      <w:proofErr w:type="spellEnd"/>
      <w:r w:rsidRPr="0025206B">
        <w:rPr>
          <w:rFonts w:cs="Times New Roman"/>
          <w:szCs w:val="18"/>
        </w:rPr>
        <w:t xml:space="preserve"> knows more than Proclus, and may well have had access to the entire cycle</w:t>
      </w:r>
      <w:r>
        <w:rPr>
          <w:rFonts w:cs="Times New Roman"/>
          <w:szCs w:val="18"/>
        </w:rPr>
        <w:t>;</w:t>
      </w:r>
      <w:r w:rsidRPr="0025206B">
        <w:rPr>
          <w:rFonts w:cs="Times New Roman"/>
          <w:szCs w:val="18"/>
        </w:rPr>
        <w:t xml:space="preserve"> West </w:t>
      </w:r>
      <w:r w:rsidRPr="0056144B">
        <w:rPr>
          <w:rFonts w:cs="Times New Roman"/>
          <w:i/>
          <w:szCs w:val="18"/>
        </w:rPr>
        <w:t>loc</w:t>
      </w:r>
      <w:r w:rsidRPr="0025206B">
        <w:rPr>
          <w:rFonts w:cs="Times New Roman"/>
          <w:szCs w:val="18"/>
        </w:rPr>
        <w:t xml:space="preserve">. </w:t>
      </w:r>
      <w:r w:rsidRPr="0056144B">
        <w:rPr>
          <w:rFonts w:cs="Times New Roman"/>
          <w:i/>
          <w:szCs w:val="18"/>
        </w:rPr>
        <w:t>cit</w:t>
      </w:r>
      <w:r w:rsidRPr="0025206B">
        <w:rPr>
          <w:rFonts w:cs="Times New Roman"/>
          <w:szCs w:val="18"/>
        </w:rPr>
        <w:t>. and 13-16.</w:t>
      </w:r>
    </w:p>
  </w:footnote>
  <w:footnote w:id="11">
    <w:p w14:paraId="12CE6C82"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Roger </w:t>
      </w:r>
      <w:proofErr w:type="spellStart"/>
      <w:r w:rsidRPr="0025206B">
        <w:rPr>
          <w:rFonts w:cs="Times New Roman"/>
          <w:szCs w:val="18"/>
        </w:rPr>
        <w:t>Bagnall</w:t>
      </w:r>
      <w:proofErr w:type="spellEnd"/>
      <w:r w:rsidRPr="0025206B">
        <w:rPr>
          <w:rFonts w:cs="Times New Roman"/>
          <w:szCs w:val="18"/>
        </w:rPr>
        <w:t xml:space="preserve">, “Alexandria: Library of Dreams,” </w:t>
      </w:r>
      <w:r w:rsidRPr="0025206B">
        <w:rPr>
          <w:rFonts w:cs="Times New Roman"/>
          <w:i/>
          <w:szCs w:val="18"/>
        </w:rPr>
        <w:t>Proceedings of the American Philosophical Society</w:t>
      </w:r>
      <w:r w:rsidRPr="0025206B">
        <w:rPr>
          <w:rFonts w:cs="Times New Roman"/>
          <w:szCs w:val="18"/>
        </w:rPr>
        <w:t xml:space="preserve"> 146 (2002) 348-62.</w:t>
      </w:r>
    </w:p>
  </w:footnote>
  <w:footnote w:id="12">
    <w:p w14:paraId="14257F89"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Abstracted from a sentence in Griffin, next note, </w:t>
      </w:r>
      <w:r w:rsidRPr="0056144B">
        <w:rPr>
          <w:rFonts w:cs="Times New Roman"/>
          <w:i/>
          <w:szCs w:val="18"/>
        </w:rPr>
        <w:t>loc</w:t>
      </w:r>
      <w:r w:rsidRPr="0025206B">
        <w:rPr>
          <w:rFonts w:cs="Times New Roman"/>
          <w:szCs w:val="18"/>
        </w:rPr>
        <w:t xml:space="preserve">. </w:t>
      </w:r>
      <w:r w:rsidRPr="0056144B">
        <w:rPr>
          <w:rFonts w:cs="Times New Roman"/>
          <w:i/>
          <w:szCs w:val="18"/>
        </w:rPr>
        <w:t>cit</w:t>
      </w:r>
      <w:r>
        <w:rPr>
          <w:rFonts w:cs="Times New Roman"/>
          <w:szCs w:val="18"/>
        </w:rPr>
        <w:t>.</w:t>
      </w:r>
      <w:r w:rsidRPr="0025206B">
        <w:rPr>
          <w:rFonts w:cs="Times New Roman"/>
          <w:szCs w:val="18"/>
        </w:rPr>
        <w:t xml:space="preserve">; an example of Hellenistic sources, Adrian Hollis on </w:t>
      </w:r>
      <w:proofErr w:type="spellStart"/>
      <w:r w:rsidRPr="0025206B">
        <w:rPr>
          <w:rFonts w:cs="Times New Roman"/>
          <w:szCs w:val="18"/>
        </w:rPr>
        <w:t>Ov</w:t>
      </w:r>
      <w:proofErr w:type="spellEnd"/>
      <w:r w:rsidRPr="0025206B">
        <w:rPr>
          <w:rFonts w:cs="Times New Roman"/>
          <w:szCs w:val="18"/>
        </w:rPr>
        <w:t xml:space="preserve">. </w:t>
      </w:r>
      <w:r w:rsidRPr="0025206B">
        <w:rPr>
          <w:rFonts w:cs="Times New Roman"/>
          <w:i/>
          <w:szCs w:val="18"/>
        </w:rPr>
        <w:t>Met</w:t>
      </w:r>
      <w:r w:rsidRPr="0025206B">
        <w:rPr>
          <w:rFonts w:cs="Times New Roman"/>
          <w:szCs w:val="18"/>
        </w:rPr>
        <w:t xml:space="preserve">. 8 (1970) 66-9 on the </w:t>
      </w:r>
      <w:proofErr w:type="spellStart"/>
      <w:r w:rsidRPr="0025206B">
        <w:rPr>
          <w:rFonts w:cs="Times New Roman"/>
          <w:szCs w:val="18"/>
        </w:rPr>
        <w:t>Calydonian</w:t>
      </w:r>
      <w:proofErr w:type="spellEnd"/>
      <w:r w:rsidRPr="0025206B">
        <w:rPr>
          <w:rFonts w:cs="Times New Roman"/>
          <w:szCs w:val="18"/>
        </w:rPr>
        <w:t xml:space="preserve"> boar-hunt. See the detailed overview of Jessica Priestly, </w:t>
      </w:r>
      <w:r w:rsidRPr="0025206B">
        <w:rPr>
          <w:rFonts w:cs="Times New Roman"/>
          <w:i/>
          <w:szCs w:val="18"/>
        </w:rPr>
        <w:t>Herodotus and Hellenistic Culture</w:t>
      </w:r>
      <w:r w:rsidRPr="0025206B">
        <w:rPr>
          <w:rFonts w:cs="Times New Roman"/>
          <w:szCs w:val="18"/>
        </w:rPr>
        <w:t xml:space="preserve"> (2014) </w:t>
      </w:r>
      <w:r>
        <w:rPr>
          <w:rFonts w:cs="Times New Roman"/>
          <w:szCs w:val="18"/>
        </w:rPr>
        <w:t>51–108</w:t>
      </w:r>
      <w:r w:rsidRPr="0025206B">
        <w:rPr>
          <w:rFonts w:cs="Times New Roman"/>
          <w:szCs w:val="18"/>
        </w:rPr>
        <w:t>.</w:t>
      </w:r>
    </w:p>
  </w:footnote>
  <w:footnote w:id="13">
    <w:p w14:paraId="7D9A691B"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Thus my “Rethinking Augustan Poetry,” </w:t>
      </w:r>
      <w:proofErr w:type="spellStart"/>
      <w:r w:rsidRPr="0025206B">
        <w:rPr>
          <w:rFonts w:cs="Times New Roman"/>
          <w:i/>
          <w:szCs w:val="18"/>
        </w:rPr>
        <w:t>Latomus</w:t>
      </w:r>
      <w:proofErr w:type="spellEnd"/>
      <w:r w:rsidRPr="0025206B">
        <w:rPr>
          <w:rFonts w:cs="Times New Roman"/>
          <w:szCs w:val="18"/>
        </w:rPr>
        <w:t xml:space="preserve"> </w:t>
      </w:r>
      <w:r>
        <w:rPr>
          <w:rFonts w:cs="Times New Roman"/>
          <w:szCs w:val="18"/>
        </w:rPr>
        <w:t>(</w:t>
      </w:r>
      <w:r w:rsidRPr="0025206B">
        <w:rPr>
          <w:rFonts w:cs="Times New Roman"/>
          <w:szCs w:val="18"/>
        </w:rPr>
        <w:t>1983</w:t>
      </w:r>
      <w:r>
        <w:rPr>
          <w:rFonts w:cs="Times New Roman"/>
          <w:szCs w:val="18"/>
        </w:rPr>
        <w:t>)</w:t>
      </w:r>
      <w:r w:rsidRPr="0025206B">
        <w:rPr>
          <w:rFonts w:cs="Times New Roman"/>
          <w:szCs w:val="18"/>
        </w:rPr>
        <w:t xml:space="preserve"> 780–818. </w:t>
      </w:r>
    </w:p>
  </w:footnote>
  <w:footnote w:id="14">
    <w:p w14:paraId="27BF35CF"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Ponder James Thurber’s “The Luck of </w:t>
      </w:r>
      <w:proofErr w:type="spellStart"/>
      <w:r w:rsidRPr="0025206B">
        <w:rPr>
          <w:rFonts w:cs="Times New Roman"/>
          <w:szCs w:val="18"/>
        </w:rPr>
        <w:t>Jad</w:t>
      </w:r>
      <w:proofErr w:type="spellEnd"/>
      <w:r w:rsidRPr="0025206B">
        <w:rPr>
          <w:rFonts w:cs="Times New Roman"/>
          <w:szCs w:val="18"/>
        </w:rPr>
        <w:t xml:space="preserve"> Peters,” </w:t>
      </w:r>
      <w:r w:rsidRPr="0025206B">
        <w:rPr>
          <w:rFonts w:cs="Times New Roman"/>
          <w:i/>
          <w:szCs w:val="18"/>
        </w:rPr>
        <w:t>New Yorker</w:t>
      </w:r>
      <w:r w:rsidRPr="0025206B">
        <w:rPr>
          <w:rFonts w:cs="Times New Roman"/>
          <w:szCs w:val="18"/>
        </w:rPr>
        <w:t xml:space="preserve"> December 8, </w:t>
      </w:r>
      <w:r>
        <w:rPr>
          <w:rFonts w:cs="Times New Roman"/>
          <w:szCs w:val="18"/>
        </w:rPr>
        <w:t>(</w:t>
      </w:r>
      <w:r w:rsidRPr="0025206B">
        <w:rPr>
          <w:rFonts w:cs="Times New Roman"/>
          <w:szCs w:val="18"/>
        </w:rPr>
        <w:t>1934</w:t>
      </w:r>
      <w:r>
        <w:rPr>
          <w:rFonts w:cs="Times New Roman"/>
          <w:szCs w:val="18"/>
        </w:rPr>
        <w:t>)</w:t>
      </w:r>
      <w:r w:rsidRPr="0025206B">
        <w:rPr>
          <w:rFonts w:cs="Times New Roman"/>
          <w:szCs w:val="18"/>
        </w:rPr>
        <w:t xml:space="preserve"> 22–25; often anthologized; a hilarious and accurate conceptual liquidation of significant coincidences.</w:t>
      </w:r>
    </w:p>
  </w:footnote>
  <w:footnote w:id="15">
    <w:p w14:paraId="6D80098F"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w:t>
      </w:r>
      <w:r w:rsidRPr="0025206B">
        <w:rPr>
          <w:rFonts w:cs="Times New Roman"/>
          <w:color w:val="000000" w:themeColor="text1"/>
          <w:szCs w:val="18"/>
        </w:rPr>
        <w:t xml:space="preserve">32.11 in </w:t>
      </w:r>
      <w:proofErr w:type="spellStart"/>
      <w:r w:rsidRPr="0025206B">
        <w:rPr>
          <w:rFonts w:cs="Times New Roman"/>
          <w:szCs w:val="18"/>
        </w:rPr>
        <w:t>Bernabé’s</w:t>
      </w:r>
      <w:proofErr w:type="spellEnd"/>
      <w:r w:rsidRPr="0025206B">
        <w:rPr>
          <w:rFonts w:cs="Times New Roman"/>
          <w:szCs w:val="18"/>
        </w:rPr>
        <w:t xml:space="preserve"> </w:t>
      </w:r>
      <w:r w:rsidRPr="0025206B">
        <w:rPr>
          <w:rFonts w:cs="Times New Roman"/>
          <w:color w:val="000000" w:themeColor="text1"/>
          <w:szCs w:val="18"/>
        </w:rPr>
        <w:t>edition. Curiously, he does not mention the further instance of Bridge violation at 32.16. In fairness, 138 n</w:t>
      </w:r>
      <w:r>
        <w:rPr>
          <w:rFonts w:cs="Times New Roman"/>
          <w:color w:val="000000" w:themeColor="text1"/>
          <w:szCs w:val="18"/>
        </w:rPr>
        <w:t>.</w:t>
      </w:r>
      <w:r w:rsidRPr="0025206B">
        <w:rPr>
          <w:rFonts w:cs="Times New Roman"/>
          <w:color w:val="000000" w:themeColor="text1"/>
          <w:szCs w:val="18"/>
        </w:rPr>
        <w:t xml:space="preserve"> 50 in the current volume freely acknowledges the small number of lines. </w:t>
      </w:r>
    </w:p>
  </w:footnote>
  <w:footnote w:id="16">
    <w:p w14:paraId="63FB981A"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w:t>
      </w:r>
      <w:r w:rsidRPr="0025206B">
        <w:rPr>
          <w:rFonts w:cs="Times New Roman"/>
          <w:i/>
          <w:szCs w:val="18"/>
        </w:rPr>
        <w:t xml:space="preserve">Die </w:t>
      </w:r>
      <w:proofErr w:type="spellStart"/>
      <w:r w:rsidRPr="0025206B">
        <w:rPr>
          <w:rFonts w:cs="Times New Roman"/>
          <w:i/>
          <w:szCs w:val="18"/>
        </w:rPr>
        <w:t>homerische</w:t>
      </w:r>
      <w:proofErr w:type="spellEnd"/>
      <w:r w:rsidRPr="0025206B">
        <w:rPr>
          <w:rFonts w:cs="Times New Roman"/>
          <w:i/>
          <w:szCs w:val="18"/>
        </w:rPr>
        <w:t xml:space="preserve"> </w:t>
      </w:r>
      <w:proofErr w:type="spellStart"/>
      <w:r w:rsidRPr="0025206B">
        <w:rPr>
          <w:rFonts w:cs="Times New Roman"/>
          <w:i/>
          <w:szCs w:val="18"/>
        </w:rPr>
        <w:t>Od</w:t>
      </w:r>
      <w:r w:rsidRPr="0025206B">
        <w:rPr>
          <w:rFonts w:cs="Times New Roman"/>
          <w:szCs w:val="18"/>
        </w:rPr>
        <w:t>yssee</w:t>
      </w:r>
      <w:proofErr w:type="spellEnd"/>
      <w:r w:rsidRPr="0025206B">
        <w:rPr>
          <w:rFonts w:cs="Times New Roman"/>
          <w:szCs w:val="18"/>
        </w:rPr>
        <w:t xml:space="preserve"> (1859) x, </w:t>
      </w:r>
      <w:proofErr w:type="spellStart"/>
      <w:r w:rsidRPr="0025206B">
        <w:rPr>
          <w:rFonts w:cs="Times New Roman"/>
          <w:i/>
          <w:szCs w:val="18"/>
        </w:rPr>
        <w:t>Homerische</w:t>
      </w:r>
      <w:proofErr w:type="spellEnd"/>
      <w:r w:rsidRPr="0025206B">
        <w:rPr>
          <w:rFonts w:cs="Times New Roman"/>
          <w:i/>
          <w:szCs w:val="18"/>
        </w:rPr>
        <w:t xml:space="preserve"> </w:t>
      </w:r>
      <w:proofErr w:type="spellStart"/>
      <w:r w:rsidRPr="0025206B">
        <w:rPr>
          <w:rFonts w:cs="Times New Roman"/>
          <w:i/>
          <w:szCs w:val="18"/>
        </w:rPr>
        <w:t>Untersuchungen</w:t>
      </w:r>
      <w:proofErr w:type="spellEnd"/>
      <w:r w:rsidRPr="0025206B">
        <w:rPr>
          <w:rFonts w:cs="Times New Roman"/>
          <w:szCs w:val="18"/>
        </w:rPr>
        <w:t xml:space="preserve"> (1884) 228.</w:t>
      </w:r>
    </w:p>
  </w:footnote>
  <w:footnote w:id="17">
    <w:p w14:paraId="4606FFAD" w14:textId="77777777" w:rsidR="000E2F55" w:rsidRPr="0025206B" w:rsidRDefault="000E2F55" w:rsidP="000E2F55">
      <w:pPr>
        <w:pStyle w:val="FootnoteText"/>
        <w:rPr>
          <w:rFonts w:cs="Times New Roman"/>
          <w:szCs w:val="18"/>
        </w:rPr>
      </w:pPr>
      <w:r w:rsidRPr="0025206B">
        <w:rPr>
          <w:rStyle w:val="FootnoteReference"/>
          <w:rFonts w:cs="Times New Roman"/>
          <w:szCs w:val="18"/>
        </w:rPr>
        <w:footnoteRef/>
      </w:r>
      <w:r w:rsidRPr="0025206B">
        <w:rPr>
          <w:rFonts w:cs="Times New Roman"/>
          <w:szCs w:val="18"/>
        </w:rPr>
        <w:t xml:space="preserve"> “The Homeric Question Today,” </w:t>
      </w:r>
      <w:r w:rsidRPr="0025206B">
        <w:rPr>
          <w:rFonts w:cs="Times New Roman"/>
          <w:i/>
          <w:szCs w:val="18"/>
        </w:rPr>
        <w:t>Proceedings of the American Philosophical Society</w:t>
      </w:r>
      <w:r w:rsidRPr="0025206B">
        <w:rPr>
          <w:rFonts w:cs="Times New Roman"/>
          <w:szCs w:val="18"/>
        </w:rPr>
        <w:t xml:space="preserve"> 115 (2011) 383–393 at 393.</w:t>
      </w:r>
    </w:p>
  </w:footnote>
  <w:footnote w:id="18">
    <w:p w14:paraId="158B6EB6" w14:textId="77777777" w:rsidR="000E2F55" w:rsidRPr="0025206B" w:rsidRDefault="000E2F55" w:rsidP="000E2F55">
      <w:pPr>
        <w:pStyle w:val="FootnoteText"/>
        <w:rPr>
          <w:szCs w:val="18"/>
        </w:rPr>
      </w:pPr>
      <w:r w:rsidRPr="0025206B">
        <w:rPr>
          <w:rStyle w:val="FootnoteReference"/>
          <w:rFonts w:cs="Times New Roman"/>
          <w:szCs w:val="18"/>
        </w:rPr>
        <w:footnoteRef/>
      </w:r>
      <w:r w:rsidRPr="0025206B">
        <w:rPr>
          <w:rFonts w:cs="Times New Roman"/>
          <w:szCs w:val="18"/>
        </w:rPr>
        <w:t xml:space="preserve">G.S. Kirk (1985) </w:t>
      </w:r>
      <w:r w:rsidRPr="0056144B">
        <w:rPr>
          <w:rFonts w:cs="Times New Roman"/>
          <w:i/>
          <w:szCs w:val="18"/>
        </w:rPr>
        <w:t>ad loc</w:t>
      </w:r>
      <w:r w:rsidRPr="0025206B">
        <w:rPr>
          <w:rFonts w:cs="Times New Roman"/>
          <w:szCs w:val="18"/>
        </w:rPr>
        <w:t xml:space="preserve">., A.G. Geddes, “Who’s Who in ‘Homeric’ </w:t>
      </w:r>
      <w:proofErr w:type="gramStart"/>
      <w:r w:rsidRPr="0025206B">
        <w:rPr>
          <w:rFonts w:cs="Times New Roman"/>
          <w:szCs w:val="18"/>
        </w:rPr>
        <w:t>Society?,</w:t>
      </w:r>
      <w:proofErr w:type="gramEnd"/>
      <w:r>
        <w:rPr>
          <w:rFonts w:cs="Times New Roman"/>
          <w:szCs w:val="18"/>
        </w:rPr>
        <w:t>”</w:t>
      </w:r>
      <w:r w:rsidRPr="0025206B">
        <w:rPr>
          <w:rFonts w:cs="Times New Roman"/>
          <w:szCs w:val="18"/>
        </w:rPr>
        <w:t xml:space="preserve"> </w:t>
      </w:r>
      <w:r w:rsidRPr="0025206B">
        <w:rPr>
          <w:rFonts w:cs="Times New Roman"/>
          <w:i/>
          <w:szCs w:val="18"/>
        </w:rPr>
        <w:t>CQ</w:t>
      </w:r>
      <w:r w:rsidRPr="0025206B">
        <w:rPr>
          <w:rFonts w:cs="Times New Roman"/>
          <w:szCs w:val="18"/>
        </w:rPr>
        <w:t xml:space="preserve"> </w:t>
      </w:r>
      <w:r>
        <w:rPr>
          <w:rFonts w:cs="Times New Roman"/>
          <w:szCs w:val="18"/>
        </w:rPr>
        <w:t>(</w:t>
      </w:r>
      <w:r w:rsidRPr="0025206B">
        <w:rPr>
          <w:rFonts w:cs="Times New Roman"/>
          <w:szCs w:val="18"/>
        </w:rPr>
        <w:t>1981</w:t>
      </w:r>
      <w:r>
        <w:rPr>
          <w:rFonts w:cs="Times New Roman"/>
          <w:szCs w:val="18"/>
        </w:rPr>
        <w:t>)</w:t>
      </w:r>
      <w:r w:rsidRPr="0025206B">
        <w:rPr>
          <w:rFonts w:cs="Times New Roman"/>
          <w:szCs w:val="18"/>
        </w:rPr>
        <w:t xml:space="preserve"> 17</w:t>
      </w:r>
      <w:r>
        <w:rPr>
          <w:rFonts w:cs="Times New Roman"/>
          <w:szCs w:val="18"/>
        </w:rPr>
        <w:t>–36 at 21–2</w:t>
      </w:r>
      <w:r w:rsidRPr="0025206B">
        <w:rPr>
          <w:rFonts w:cs="Times New Roman"/>
          <w:szCs w:val="18"/>
        </w:rPr>
        <w:t xml:space="preserve">3, 31, 34; Geoffrey de Ste. Croix, </w:t>
      </w:r>
      <w:r w:rsidRPr="0025206B">
        <w:rPr>
          <w:rFonts w:cs="Times New Roman"/>
          <w:i/>
          <w:szCs w:val="18"/>
        </w:rPr>
        <w:t xml:space="preserve">The Class Struggle in the Ancient Greek World </w:t>
      </w:r>
      <w:r>
        <w:rPr>
          <w:rFonts w:cs="Times New Roman"/>
          <w:szCs w:val="18"/>
        </w:rPr>
        <w:t>(1981) 279, 412–</w:t>
      </w:r>
      <w:r w:rsidRPr="0025206B">
        <w:rPr>
          <w:rFonts w:cs="Times New Roman"/>
          <w:szCs w:val="18"/>
        </w:rPr>
        <w:t>3.</w:t>
      </w:r>
    </w:p>
  </w:footnote>
  <w:footnote w:id="19">
    <w:p w14:paraId="2122EDF2" w14:textId="77777777" w:rsidR="000E2F55" w:rsidRPr="0025206B" w:rsidRDefault="000E2F55" w:rsidP="000E2F55">
      <w:pPr>
        <w:pStyle w:val="FootnoteText"/>
        <w:rPr>
          <w:szCs w:val="18"/>
        </w:rPr>
      </w:pPr>
      <w:r w:rsidRPr="0025206B">
        <w:rPr>
          <w:rStyle w:val="FootnoteReference"/>
          <w:rFonts w:cs="Times New Roman"/>
          <w:szCs w:val="18"/>
        </w:rPr>
        <w:footnoteRef/>
      </w:r>
      <w:r w:rsidRPr="0025206B">
        <w:rPr>
          <w:rFonts w:cs="Times New Roman"/>
          <w:szCs w:val="18"/>
        </w:rPr>
        <w:t xml:space="preserve">More </w:t>
      </w:r>
      <w:proofErr w:type="spellStart"/>
      <w:r w:rsidRPr="0025206B">
        <w:rPr>
          <w:rFonts w:cs="Times New Roman"/>
          <w:szCs w:val="18"/>
        </w:rPr>
        <w:t>unsuave</w:t>
      </w:r>
      <w:proofErr w:type="spellEnd"/>
      <w:r w:rsidRPr="0025206B">
        <w:rPr>
          <w:rFonts w:cs="Times New Roman"/>
          <w:szCs w:val="18"/>
        </w:rPr>
        <w:t xml:space="preserve"> is </w:t>
      </w:r>
      <w:proofErr w:type="spellStart"/>
      <w:r w:rsidRPr="0025206B">
        <w:rPr>
          <w:rFonts w:cs="Times New Roman"/>
          <w:szCs w:val="18"/>
        </w:rPr>
        <w:t>Thersites</w:t>
      </w:r>
      <w:proofErr w:type="spellEnd"/>
      <w:r w:rsidRPr="0025206B">
        <w:rPr>
          <w:rFonts w:cs="Times New Roman"/>
          <w:szCs w:val="18"/>
        </w:rPr>
        <w:t xml:space="preserve">’ necrophilia accusation: </w:t>
      </w:r>
      <w:proofErr w:type="spellStart"/>
      <w:r w:rsidRPr="0025206B">
        <w:rPr>
          <w:rFonts w:cs="Times New Roman"/>
          <w:szCs w:val="18"/>
        </w:rPr>
        <w:t>Tzetzes</w:t>
      </w:r>
      <w:proofErr w:type="spellEnd"/>
      <w:r w:rsidRPr="0025206B">
        <w:rPr>
          <w:rFonts w:cs="Times New Roman"/>
          <w:szCs w:val="18"/>
        </w:rPr>
        <w:t xml:space="preserve"> ∑ </w:t>
      </w:r>
      <w:proofErr w:type="spellStart"/>
      <w:r w:rsidRPr="0025206B">
        <w:rPr>
          <w:rFonts w:cs="Times New Roman"/>
          <w:szCs w:val="18"/>
        </w:rPr>
        <w:t>Lycophr</w:t>
      </w:r>
      <w:proofErr w:type="spellEnd"/>
      <w:r w:rsidRPr="0025206B">
        <w:rPr>
          <w:rFonts w:cs="Times New Roman"/>
          <w:szCs w:val="18"/>
        </w:rPr>
        <w:t>. 999</w:t>
      </w:r>
      <w:r>
        <w:rPr>
          <w:rFonts w:cs="Times New Roman"/>
          <w:szCs w:val="18"/>
        </w:rPr>
        <w:t>;</w:t>
      </w:r>
      <w:r w:rsidRPr="0025206B">
        <w:rPr>
          <w:rFonts w:cs="Times New Roman"/>
          <w:szCs w:val="18"/>
        </w:rPr>
        <w:t xml:space="preserve"> cf. </w:t>
      </w:r>
      <w:proofErr w:type="spellStart"/>
      <w:r w:rsidRPr="0025206B">
        <w:rPr>
          <w:rFonts w:cs="Times New Roman"/>
          <w:szCs w:val="18"/>
        </w:rPr>
        <w:t>Eustathius</w:t>
      </w:r>
      <w:proofErr w:type="spellEnd"/>
      <w:r w:rsidRPr="0025206B">
        <w:rPr>
          <w:rFonts w:cs="Times New Roman"/>
          <w:szCs w:val="18"/>
        </w:rPr>
        <w:t xml:space="preserve"> </w:t>
      </w:r>
      <w:r w:rsidRPr="0025206B">
        <w:rPr>
          <w:rFonts w:cs="Times New Roman"/>
          <w:i/>
          <w:szCs w:val="18"/>
        </w:rPr>
        <w:t>Il</w:t>
      </w:r>
      <w:r>
        <w:rPr>
          <w:rFonts w:cs="Times New Roman"/>
          <w:szCs w:val="18"/>
        </w:rPr>
        <w:t>. 2.220=208.1–</w:t>
      </w:r>
      <w:r w:rsidRPr="0025206B">
        <w:rPr>
          <w:rFonts w:cs="Times New Roman"/>
          <w:szCs w:val="18"/>
        </w:rPr>
        <w:t>7.</w:t>
      </w:r>
    </w:p>
  </w:footnote>
  <w:footnote w:id="20">
    <w:p w14:paraId="540F2EBC" w14:textId="77777777" w:rsidR="000E2F55" w:rsidRPr="0025206B" w:rsidRDefault="000E2F55" w:rsidP="000E2F55">
      <w:pPr>
        <w:pStyle w:val="FootnoteText"/>
        <w:rPr>
          <w:szCs w:val="18"/>
        </w:rPr>
      </w:pPr>
      <w:r w:rsidRPr="0025206B">
        <w:rPr>
          <w:rStyle w:val="FootnoteReference"/>
          <w:rFonts w:cs="Times New Roman"/>
          <w:szCs w:val="18"/>
        </w:rPr>
        <w:footnoteRef/>
      </w:r>
      <w:r w:rsidRPr="0025206B">
        <w:rPr>
          <w:szCs w:val="18"/>
        </w:rPr>
        <w:t xml:space="preserve"> </w:t>
      </w:r>
      <w:r w:rsidRPr="0025206B">
        <w:rPr>
          <w:rFonts w:cs="Times New Roman"/>
          <w:szCs w:val="18"/>
        </w:rPr>
        <w:t xml:space="preserve">P. </w:t>
      </w:r>
      <w:proofErr w:type="spellStart"/>
      <w:r w:rsidRPr="0025206B">
        <w:rPr>
          <w:rFonts w:cs="Times New Roman"/>
          <w:szCs w:val="18"/>
        </w:rPr>
        <w:t>Chantraine</w:t>
      </w:r>
      <w:proofErr w:type="spellEnd"/>
      <w:r w:rsidRPr="0025206B">
        <w:rPr>
          <w:rFonts w:cs="Times New Roman"/>
          <w:szCs w:val="18"/>
        </w:rPr>
        <w:t xml:space="preserve">, “A propos </w:t>
      </w:r>
      <w:r>
        <w:rPr>
          <w:rFonts w:cs="Times New Roman"/>
          <w:szCs w:val="18"/>
        </w:rPr>
        <w:t xml:space="preserve">de </w:t>
      </w:r>
      <w:proofErr w:type="spellStart"/>
      <w:r>
        <w:rPr>
          <w:rFonts w:cs="Times New Roman"/>
          <w:szCs w:val="18"/>
        </w:rPr>
        <w:t>Thersite</w:t>
      </w:r>
      <w:proofErr w:type="spellEnd"/>
      <w:proofErr w:type="gramStart"/>
      <w:r w:rsidRPr="0025206B">
        <w:rPr>
          <w:rFonts w:cs="Times New Roman"/>
          <w:szCs w:val="18"/>
        </w:rPr>
        <w:t>,</w:t>
      </w:r>
      <w:r>
        <w:rPr>
          <w:rFonts w:cs="Times New Roman"/>
          <w:szCs w:val="18"/>
        </w:rPr>
        <w:t>”</w:t>
      </w:r>
      <w:r w:rsidRPr="0025206B">
        <w:rPr>
          <w:rFonts w:cs="Times New Roman"/>
          <w:szCs w:val="18"/>
        </w:rPr>
        <w:t xml:space="preserve"> </w:t>
      </w:r>
      <w:r>
        <w:rPr>
          <w:rFonts w:cs="Times New Roman"/>
          <w:szCs w:val="18"/>
        </w:rPr>
        <w:t xml:space="preserve"> </w:t>
      </w:r>
      <w:r w:rsidRPr="0025206B">
        <w:rPr>
          <w:rFonts w:cs="Times New Roman"/>
          <w:i/>
          <w:szCs w:val="18"/>
        </w:rPr>
        <w:t>AC</w:t>
      </w:r>
      <w:proofErr w:type="gramEnd"/>
      <w:r>
        <w:rPr>
          <w:rFonts w:cs="Times New Roman"/>
          <w:szCs w:val="18"/>
        </w:rPr>
        <w:t xml:space="preserve"> (1963) 18–</w:t>
      </w:r>
      <w:r w:rsidRPr="0025206B">
        <w:rPr>
          <w:rFonts w:cs="Times New Roman"/>
          <w:szCs w:val="18"/>
        </w:rPr>
        <w:t>27.</w:t>
      </w:r>
    </w:p>
  </w:footnote>
  <w:footnote w:id="21">
    <w:p w14:paraId="6580C99F" w14:textId="77777777" w:rsidR="000E2F55" w:rsidRPr="0025206B" w:rsidRDefault="000E2F55" w:rsidP="000E2F55">
      <w:pPr>
        <w:pStyle w:val="FootnoteText"/>
        <w:rPr>
          <w:szCs w:val="18"/>
        </w:rPr>
      </w:pPr>
      <w:r w:rsidRPr="0025206B">
        <w:rPr>
          <w:rStyle w:val="FootnoteReference"/>
          <w:rFonts w:cs="Times New Roman"/>
          <w:szCs w:val="18"/>
        </w:rPr>
        <w:footnoteRef/>
      </w:r>
      <w:r w:rsidRPr="0025206B">
        <w:rPr>
          <w:szCs w:val="18"/>
        </w:rPr>
        <w:t xml:space="preserve"> </w:t>
      </w:r>
      <w:proofErr w:type="spellStart"/>
      <w:r w:rsidRPr="0025206B">
        <w:rPr>
          <w:rFonts w:cs="Times New Roman"/>
          <w:szCs w:val="18"/>
        </w:rPr>
        <w:t>Tzetzes</w:t>
      </w:r>
      <w:proofErr w:type="spellEnd"/>
      <w:r w:rsidRPr="0025206B">
        <w:rPr>
          <w:rFonts w:cs="Times New Roman"/>
          <w:szCs w:val="18"/>
        </w:rPr>
        <w:t xml:space="preserve"> says as much</w:t>
      </w:r>
      <w:r>
        <w:rPr>
          <w:rFonts w:cs="Times New Roman"/>
          <w:szCs w:val="18"/>
        </w:rPr>
        <w:t xml:space="preserve"> at</w:t>
      </w:r>
      <w:r w:rsidRPr="0025206B">
        <w:rPr>
          <w:rFonts w:cs="Times New Roman"/>
          <w:szCs w:val="18"/>
        </w:rPr>
        <w:t xml:space="preserve"> </w:t>
      </w:r>
      <w:proofErr w:type="spellStart"/>
      <w:r w:rsidRPr="0025206B">
        <w:rPr>
          <w:rFonts w:cs="Times New Roman"/>
          <w:i/>
          <w:szCs w:val="18"/>
        </w:rPr>
        <w:t>Chiliades</w:t>
      </w:r>
      <w:proofErr w:type="spellEnd"/>
      <w:r w:rsidRPr="0025206B">
        <w:rPr>
          <w:rFonts w:cs="Times New Roman"/>
          <w:szCs w:val="18"/>
        </w:rPr>
        <w:t xml:space="preserve"> 7.52 (7.878-89)</w:t>
      </w:r>
      <w:r>
        <w:rPr>
          <w:rFonts w:cs="Times New Roman"/>
          <w:szCs w:val="18"/>
        </w:rPr>
        <w:t>.</w:t>
      </w:r>
      <w:r w:rsidRPr="0025206B">
        <w:rPr>
          <w:rFonts w:cs="Times New Roman"/>
          <w:szCs w:val="18"/>
        </w:rPr>
        <w:t xml:space="preserve"> Both here and on necrophilia (</w:t>
      </w:r>
      <w:r w:rsidRPr="0056144B">
        <w:rPr>
          <w:rFonts w:cs="Times New Roman"/>
          <w:i/>
          <w:szCs w:val="18"/>
        </w:rPr>
        <w:t>supra</w:t>
      </w:r>
      <w:r w:rsidRPr="0025206B">
        <w:rPr>
          <w:rFonts w:cs="Times New Roman"/>
          <w:szCs w:val="18"/>
        </w:rPr>
        <w:t xml:space="preserve"> n.</w:t>
      </w:r>
      <w:r>
        <w:rPr>
          <w:rFonts w:cs="Times New Roman"/>
          <w:szCs w:val="18"/>
        </w:rPr>
        <w:t xml:space="preserve"> </w:t>
      </w:r>
      <w:r w:rsidRPr="0025206B">
        <w:rPr>
          <w:rFonts w:cs="Times New Roman"/>
          <w:szCs w:val="18"/>
        </w:rPr>
        <w:t xml:space="preserve">21) “antiquarian speculation” would be wrong; consider, e.g. </w:t>
      </w:r>
      <w:proofErr w:type="spellStart"/>
      <w:r w:rsidRPr="0025206B">
        <w:rPr>
          <w:rFonts w:cs="Times New Roman"/>
          <w:szCs w:val="18"/>
        </w:rPr>
        <w:t>Pilumnus</w:t>
      </w:r>
      <w:proofErr w:type="spellEnd"/>
      <w:r w:rsidRPr="0025206B">
        <w:rPr>
          <w:rFonts w:cs="Times New Roman"/>
          <w:szCs w:val="18"/>
        </w:rPr>
        <w:t xml:space="preserve">, minor Roman god in Varro </w:t>
      </w:r>
      <w:r w:rsidRPr="00F245EF">
        <w:rPr>
          <w:rFonts w:cs="Times New Roman"/>
          <w:i/>
          <w:szCs w:val="18"/>
        </w:rPr>
        <w:t>ap</w:t>
      </w:r>
      <w:r w:rsidRPr="0025206B">
        <w:rPr>
          <w:rFonts w:cs="Times New Roman"/>
          <w:szCs w:val="18"/>
        </w:rPr>
        <w:t xml:space="preserve">. Aug. </w:t>
      </w:r>
      <w:r w:rsidRPr="0025206B">
        <w:rPr>
          <w:rFonts w:cs="Times New Roman"/>
          <w:i/>
          <w:szCs w:val="18"/>
        </w:rPr>
        <w:t>Civ</w:t>
      </w:r>
      <w:r w:rsidRPr="0025206B">
        <w:rPr>
          <w:rFonts w:cs="Times New Roman"/>
          <w:szCs w:val="18"/>
        </w:rPr>
        <w:t xml:space="preserve">. 6.9. Long so derided, until an altar dedication at Veii appeared: Mario </w:t>
      </w:r>
      <w:proofErr w:type="spellStart"/>
      <w:r w:rsidRPr="0025206B">
        <w:rPr>
          <w:rFonts w:cs="Times New Roman"/>
          <w:szCs w:val="18"/>
        </w:rPr>
        <w:t>Torelli</w:t>
      </w:r>
      <w:proofErr w:type="spellEnd"/>
      <w:r w:rsidRPr="0025206B">
        <w:rPr>
          <w:rFonts w:cs="Times New Roman"/>
          <w:szCs w:val="18"/>
        </w:rPr>
        <w:t xml:space="preserve">, </w:t>
      </w:r>
      <w:proofErr w:type="spellStart"/>
      <w:r w:rsidRPr="0025206B">
        <w:rPr>
          <w:rFonts w:cs="Times New Roman"/>
          <w:i/>
          <w:szCs w:val="18"/>
        </w:rPr>
        <w:t>Tota</w:t>
      </w:r>
      <w:proofErr w:type="spellEnd"/>
      <w:r w:rsidRPr="0025206B">
        <w:rPr>
          <w:rFonts w:cs="Times New Roman"/>
          <w:i/>
          <w:szCs w:val="18"/>
        </w:rPr>
        <w:t xml:space="preserve"> Italia</w:t>
      </w:r>
      <w:r w:rsidRPr="0025206B">
        <w:rPr>
          <w:rFonts w:cs="Times New Roman"/>
          <w:szCs w:val="18"/>
        </w:rPr>
        <w:t xml:space="preserve"> (1999) 27–29.</w:t>
      </w:r>
    </w:p>
  </w:footnote>
  <w:footnote w:id="22">
    <w:p w14:paraId="18C3C51C" w14:textId="77777777" w:rsidR="000E2F55" w:rsidRPr="0025206B" w:rsidRDefault="000E2F55" w:rsidP="000E2F55">
      <w:pPr>
        <w:pStyle w:val="FootnoteText"/>
        <w:rPr>
          <w:szCs w:val="18"/>
        </w:rPr>
      </w:pPr>
      <w:r w:rsidRPr="0025206B">
        <w:rPr>
          <w:rStyle w:val="FootnoteReference"/>
          <w:rFonts w:cs="Times New Roman"/>
          <w:szCs w:val="18"/>
        </w:rPr>
        <w:footnoteRef/>
      </w:r>
      <w:r w:rsidRPr="0025206B">
        <w:rPr>
          <w:szCs w:val="18"/>
        </w:rPr>
        <w:t xml:space="preserve"> </w:t>
      </w:r>
      <w:r w:rsidRPr="0025206B">
        <w:rPr>
          <w:rFonts w:cs="Times New Roman"/>
          <w:szCs w:val="18"/>
        </w:rPr>
        <w:t xml:space="preserve">A parallel analysis would be the two versions of Helen’s presence or absence in Troy (Homer, </w:t>
      </w:r>
      <w:proofErr w:type="spellStart"/>
      <w:r w:rsidRPr="0025206B">
        <w:rPr>
          <w:rFonts w:cs="Times New Roman"/>
          <w:szCs w:val="18"/>
        </w:rPr>
        <w:t>Stesichorus</w:t>
      </w:r>
      <w:proofErr w:type="spellEnd"/>
      <w:r w:rsidRPr="0025206B">
        <w:rPr>
          <w:rFonts w:cs="Times New Roman"/>
          <w:szCs w:val="18"/>
        </w:rPr>
        <w:t>)</w:t>
      </w:r>
      <w:r>
        <w:rPr>
          <w:rFonts w:cs="Times New Roman"/>
          <w:szCs w:val="18"/>
        </w:rPr>
        <w:t>;</w:t>
      </w:r>
      <w:r w:rsidRPr="0025206B">
        <w:rPr>
          <w:rFonts w:cs="Times New Roman"/>
          <w:szCs w:val="18"/>
        </w:rPr>
        <w:t xml:space="preserve"> see Leonard Woodbury, “Helen and the Palinode</w:t>
      </w:r>
      <w:r>
        <w:rPr>
          <w:rFonts w:cs="Times New Roman"/>
          <w:szCs w:val="18"/>
        </w:rPr>
        <w:t>,</w:t>
      </w:r>
      <w:r w:rsidRPr="0025206B">
        <w:rPr>
          <w:rFonts w:cs="Times New Roman"/>
          <w:szCs w:val="18"/>
        </w:rPr>
        <w:t xml:space="preserve">” </w:t>
      </w:r>
      <w:r w:rsidRPr="0025206B">
        <w:rPr>
          <w:rFonts w:cs="Times New Roman"/>
          <w:i/>
          <w:szCs w:val="18"/>
        </w:rPr>
        <w:t>Phoenix</w:t>
      </w:r>
      <w:r w:rsidRPr="0025206B">
        <w:rPr>
          <w:rFonts w:cs="Times New Roman"/>
          <w:szCs w:val="18"/>
        </w:rPr>
        <w:t xml:space="preserve"> </w:t>
      </w:r>
      <w:r>
        <w:rPr>
          <w:rFonts w:cs="Times New Roman"/>
          <w:szCs w:val="18"/>
        </w:rPr>
        <w:t>(</w:t>
      </w:r>
      <w:r w:rsidRPr="0025206B">
        <w:rPr>
          <w:rFonts w:cs="Times New Roman"/>
          <w:szCs w:val="18"/>
        </w:rPr>
        <w:t>1967</w:t>
      </w:r>
      <w:r>
        <w:rPr>
          <w:rFonts w:cs="Times New Roman"/>
          <w:szCs w:val="18"/>
        </w:rPr>
        <w:t>)</w:t>
      </w:r>
      <w:r w:rsidRPr="0025206B">
        <w:rPr>
          <w:rFonts w:cs="Times New Roman"/>
          <w:szCs w:val="18"/>
        </w:rPr>
        <w:t xml:space="preserve"> 157–176.</w:t>
      </w:r>
    </w:p>
  </w:footnote>
  <w:footnote w:id="23">
    <w:p w14:paraId="296D8FAD" w14:textId="77777777" w:rsidR="000E2F55" w:rsidRPr="0025206B" w:rsidRDefault="000E2F55" w:rsidP="000E2F55">
      <w:pPr>
        <w:pStyle w:val="FootnoteText"/>
        <w:rPr>
          <w:szCs w:val="18"/>
        </w:rPr>
      </w:pPr>
      <w:r w:rsidRPr="0025206B">
        <w:rPr>
          <w:rStyle w:val="FootnoteReference"/>
          <w:szCs w:val="18"/>
        </w:rPr>
        <w:footnoteRef/>
      </w:r>
      <w:r w:rsidRPr="0025206B">
        <w:rPr>
          <w:szCs w:val="18"/>
        </w:rPr>
        <w:t xml:space="preserve"> </w:t>
      </w:r>
      <w:r w:rsidRPr="0025206B">
        <w:rPr>
          <w:rFonts w:cs="Arial"/>
          <w:color w:val="222222"/>
          <w:szCs w:val="18"/>
          <w:shd w:val="clear" w:color="auto" w:fill="FFFFFF"/>
        </w:rPr>
        <w:t xml:space="preserve">While this review was in press, Malcolm Davies’ </w:t>
      </w:r>
      <w:r w:rsidRPr="0025206B">
        <w:rPr>
          <w:rFonts w:cs="Arial"/>
          <w:i/>
          <w:iCs/>
          <w:color w:val="222222"/>
          <w:szCs w:val="18"/>
          <w:shd w:val="clear" w:color="auto" w:fill="FFFFFF"/>
        </w:rPr>
        <w:t xml:space="preserve">The </w:t>
      </w:r>
      <w:proofErr w:type="spellStart"/>
      <w:r w:rsidRPr="0025206B">
        <w:rPr>
          <w:rFonts w:cs="Arial"/>
          <w:i/>
          <w:iCs/>
          <w:color w:val="222222"/>
          <w:szCs w:val="18"/>
          <w:shd w:val="clear" w:color="auto" w:fill="FFFFFF"/>
        </w:rPr>
        <w:t>Aethiopis</w:t>
      </w:r>
      <w:proofErr w:type="spellEnd"/>
      <w:r w:rsidRPr="0025206B">
        <w:rPr>
          <w:rFonts w:cs="Arial"/>
          <w:i/>
          <w:iCs/>
          <w:color w:val="222222"/>
          <w:szCs w:val="18"/>
          <w:shd w:val="clear" w:color="auto" w:fill="FFFFFF"/>
        </w:rPr>
        <w:t>: Neo-</w:t>
      </w:r>
      <w:proofErr w:type="spellStart"/>
      <w:r w:rsidRPr="0025206B">
        <w:rPr>
          <w:rFonts w:cs="Arial"/>
          <w:i/>
          <w:iCs/>
          <w:color w:val="222222"/>
          <w:szCs w:val="18"/>
          <w:shd w:val="clear" w:color="auto" w:fill="FFFFFF"/>
        </w:rPr>
        <w:t>Neoanalysis</w:t>
      </w:r>
      <w:proofErr w:type="spellEnd"/>
      <w:r w:rsidRPr="0025206B">
        <w:rPr>
          <w:rFonts w:cs="Arial"/>
          <w:i/>
          <w:iCs/>
          <w:color w:val="222222"/>
          <w:szCs w:val="18"/>
          <w:shd w:val="clear" w:color="auto" w:fill="FFFFFF"/>
        </w:rPr>
        <w:t xml:space="preserve"> Reanalyzed</w:t>
      </w:r>
      <w:r w:rsidRPr="0025206B">
        <w:rPr>
          <w:rStyle w:val="apple-converted-space"/>
          <w:rFonts w:cs="Arial"/>
          <w:color w:val="222222"/>
          <w:szCs w:val="18"/>
          <w:shd w:val="clear" w:color="auto" w:fill="FFFFFF"/>
        </w:rPr>
        <w:t> </w:t>
      </w:r>
      <w:r w:rsidRPr="0025206B">
        <w:rPr>
          <w:rFonts w:cs="Arial"/>
          <w:color w:val="222222"/>
          <w:szCs w:val="18"/>
          <w:shd w:val="clear" w:color="auto" w:fill="FFFFFF"/>
        </w:rPr>
        <w:t>(2016) appeared. It teems with va</w:t>
      </w:r>
      <w:r>
        <w:rPr>
          <w:rFonts w:cs="Arial"/>
          <w:color w:val="222222"/>
          <w:szCs w:val="18"/>
          <w:shd w:val="clear" w:color="auto" w:fill="FFFFFF"/>
        </w:rPr>
        <w:t>luable insights and excites, 50–</w:t>
      </w:r>
      <w:r w:rsidRPr="0025206B">
        <w:rPr>
          <w:rFonts w:cs="Arial"/>
          <w:color w:val="222222"/>
          <w:szCs w:val="18"/>
          <w:shd w:val="clear" w:color="auto" w:fill="FFFFFF"/>
        </w:rPr>
        <w:t xml:space="preserve">58 discuss </w:t>
      </w:r>
      <w:proofErr w:type="spellStart"/>
      <w:r w:rsidRPr="0025206B">
        <w:rPr>
          <w:rFonts w:cs="Arial"/>
          <w:color w:val="222222"/>
          <w:szCs w:val="18"/>
          <w:shd w:val="clear" w:color="auto" w:fill="FFFFFF"/>
        </w:rPr>
        <w:t>Thersites</w:t>
      </w:r>
      <w:proofErr w:type="spellEnd"/>
      <w:r>
        <w:rPr>
          <w:rFonts w:cs="Arial"/>
          <w:color w:val="222222"/>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D50E" w14:textId="29D5DDAD" w:rsidR="00A039F9" w:rsidRDefault="00114258" w:rsidP="00A039F9">
    <w:pPr>
      <w:pStyle w:val="Header"/>
      <w:tabs>
        <w:tab w:val="clear" w:pos="4680"/>
        <w:tab w:val="center" w:pos="3060"/>
      </w:tabs>
    </w:pPr>
    <w:r>
      <w:fldChar w:fldCharType="begin"/>
    </w:r>
    <w:r>
      <w:instrText xml:space="preserve"> PAGE   \* MERGEFORMAT </w:instrText>
    </w:r>
    <w:r>
      <w:fldChar w:fldCharType="separate"/>
    </w:r>
    <w:r w:rsidR="000A2F20">
      <w:rPr>
        <w:noProof/>
      </w:rPr>
      <w:t>6</w:t>
    </w:r>
    <w:r>
      <w:rPr>
        <w:noProof/>
      </w:rPr>
      <w:fldChar w:fldCharType="end"/>
    </w:r>
    <w:r w:rsidR="00662E41">
      <w:tab/>
      <w:t>C. ROBERT PHILLIPS 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3959" w14:textId="5592D433" w:rsidR="00A039F9" w:rsidRDefault="0081566D" w:rsidP="0081566D">
    <w:pPr>
      <w:pStyle w:val="Header"/>
      <w:tabs>
        <w:tab w:val="clear" w:pos="4680"/>
        <w:tab w:val="center" w:pos="3060"/>
        <w:tab w:val="right" w:pos="6120"/>
      </w:tabs>
    </w:pPr>
    <w:r>
      <w:tab/>
    </w:r>
    <w:r w:rsidR="00662E41">
      <w:t xml:space="preserve">REVIEW OF </w:t>
    </w:r>
    <w:proofErr w:type="spellStart"/>
    <w:r w:rsidR="00662E41">
      <w:t>Fantuzzi</w:t>
    </w:r>
    <w:proofErr w:type="spellEnd"/>
    <w:r w:rsidR="00662E41">
      <w:t xml:space="preserve"> &amp; </w:t>
    </w:r>
    <w:proofErr w:type="spellStart"/>
    <w:r w:rsidR="00662E41">
      <w:t>Tsagalis</w:t>
    </w:r>
    <w:proofErr w:type="spellEnd"/>
    <w:r w:rsidR="00662E41">
      <w:t xml:space="preserve">, </w:t>
    </w:r>
    <w:r w:rsidR="00662E41" w:rsidRPr="00C91205">
      <w:rPr>
        <w:i/>
      </w:rPr>
      <w:t>The Greek Epic Cycle</w:t>
    </w:r>
    <w:r>
      <w:tab/>
    </w:r>
    <w:r w:rsidR="00114258">
      <w:fldChar w:fldCharType="begin"/>
    </w:r>
    <w:r w:rsidR="00114258">
      <w:instrText xml:space="preserve"> PAGE   \* MERGEFORMAT </w:instrText>
    </w:r>
    <w:r w:rsidR="00114258">
      <w:fldChar w:fldCharType="separate"/>
    </w:r>
    <w:r w:rsidR="000A2F20">
      <w:rPr>
        <w:noProof/>
      </w:rPr>
      <w:t>7</w:t>
    </w:r>
    <w:r w:rsidR="0011425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F117" w14:textId="77777777" w:rsidR="00A039F9" w:rsidRPr="00115FF1" w:rsidRDefault="00115FF1" w:rsidP="00115FF1">
    <w:pPr>
      <w:pStyle w:val="Header"/>
      <w:tabs>
        <w:tab w:val="clear" w:pos="4680"/>
      </w:tabs>
      <w:jc w:val="right"/>
    </w:pPr>
    <w:r>
      <w:rPr>
        <w:i/>
      </w:rPr>
      <w:t>CJ</w:t>
    </w:r>
    <w:r>
      <w:t>-Online, 201</w:t>
    </w:r>
    <w:r w:rsidR="00C91205">
      <w:t>6</w:t>
    </w:r>
    <w:r>
      <w:t>.0</w:t>
    </w:r>
    <w:r w:rsidR="00C91205">
      <w:t>9</w:t>
    </w:r>
    <w:r>
      <w:t>.0</w:t>
    </w:r>
    <w:r w:rsidR="00C91205">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05"/>
    <w:rsid w:val="00000217"/>
    <w:rsid w:val="00000683"/>
    <w:rsid w:val="00003B42"/>
    <w:rsid w:val="00005B7E"/>
    <w:rsid w:val="00007A4B"/>
    <w:rsid w:val="00010174"/>
    <w:rsid w:val="000115F7"/>
    <w:rsid w:val="00011790"/>
    <w:rsid w:val="0001203D"/>
    <w:rsid w:val="00014772"/>
    <w:rsid w:val="00020031"/>
    <w:rsid w:val="000238ED"/>
    <w:rsid w:val="000258E8"/>
    <w:rsid w:val="00030907"/>
    <w:rsid w:val="00031CDA"/>
    <w:rsid w:val="00033DEC"/>
    <w:rsid w:val="0003617B"/>
    <w:rsid w:val="000412DD"/>
    <w:rsid w:val="000424C5"/>
    <w:rsid w:val="000440E1"/>
    <w:rsid w:val="000444D1"/>
    <w:rsid w:val="00044E12"/>
    <w:rsid w:val="00047495"/>
    <w:rsid w:val="00047EAC"/>
    <w:rsid w:val="0005058B"/>
    <w:rsid w:val="00051F54"/>
    <w:rsid w:val="00054821"/>
    <w:rsid w:val="00054EEB"/>
    <w:rsid w:val="00062471"/>
    <w:rsid w:val="00062908"/>
    <w:rsid w:val="00062C30"/>
    <w:rsid w:val="00071412"/>
    <w:rsid w:val="000717C6"/>
    <w:rsid w:val="00071C5D"/>
    <w:rsid w:val="00076A97"/>
    <w:rsid w:val="00077B87"/>
    <w:rsid w:val="00077BD4"/>
    <w:rsid w:val="00080D42"/>
    <w:rsid w:val="00081F67"/>
    <w:rsid w:val="00083BFF"/>
    <w:rsid w:val="00085F33"/>
    <w:rsid w:val="0008638F"/>
    <w:rsid w:val="000870A0"/>
    <w:rsid w:val="00090C44"/>
    <w:rsid w:val="00090CC7"/>
    <w:rsid w:val="00097444"/>
    <w:rsid w:val="00097735"/>
    <w:rsid w:val="00097D6B"/>
    <w:rsid w:val="000A0839"/>
    <w:rsid w:val="000A130A"/>
    <w:rsid w:val="000A1910"/>
    <w:rsid w:val="000A202D"/>
    <w:rsid w:val="000A2F20"/>
    <w:rsid w:val="000A337D"/>
    <w:rsid w:val="000A3AF7"/>
    <w:rsid w:val="000A7ABE"/>
    <w:rsid w:val="000B0E37"/>
    <w:rsid w:val="000B2A97"/>
    <w:rsid w:val="000B2FF1"/>
    <w:rsid w:val="000B5663"/>
    <w:rsid w:val="000B6ABD"/>
    <w:rsid w:val="000B7671"/>
    <w:rsid w:val="000C013D"/>
    <w:rsid w:val="000C233F"/>
    <w:rsid w:val="000C5008"/>
    <w:rsid w:val="000D4045"/>
    <w:rsid w:val="000E0791"/>
    <w:rsid w:val="000E0997"/>
    <w:rsid w:val="000E0A73"/>
    <w:rsid w:val="000E0F55"/>
    <w:rsid w:val="000E2F55"/>
    <w:rsid w:val="000E7193"/>
    <w:rsid w:val="000E734F"/>
    <w:rsid w:val="000F11A0"/>
    <w:rsid w:val="000F3C77"/>
    <w:rsid w:val="000F4B17"/>
    <w:rsid w:val="00102943"/>
    <w:rsid w:val="001041F6"/>
    <w:rsid w:val="00104C05"/>
    <w:rsid w:val="00112AA1"/>
    <w:rsid w:val="00113763"/>
    <w:rsid w:val="001137DA"/>
    <w:rsid w:val="00114258"/>
    <w:rsid w:val="001149E6"/>
    <w:rsid w:val="00115FF1"/>
    <w:rsid w:val="001214E0"/>
    <w:rsid w:val="00122600"/>
    <w:rsid w:val="00125E97"/>
    <w:rsid w:val="00134C46"/>
    <w:rsid w:val="001375D3"/>
    <w:rsid w:val="00147A00"/>
    <w:rsid w:val="00151003"/>
    <w:rsid w:val="00151B59"/>
    <w:rsid w:val="001564D9"/>
    <w:rsid w:val="001575FA"/>
    <w:rsid w:val="001578DA"/>
    <w:rsid w:val="0016178C"/>
    <w:rsid w:val="00163F4C"/>
    <w:rsid w:val="00170286"/>
    <w:rsid w:val="001708EE"/>
    <w:rsid w:val="0017105E"/>
    <w:rsid w:val="00172EEB"/>
    <w:rsid w:val="00175BFB"/>
    <w:rsid w:val="0018204E"/>
    <w:rsid w:val="001831FB"/>
    <w:rsid w:val="00184B9D"/>
    <w:rsid w:val="001853CD"/>
    <w:rsid w:val="00193241"/>
    <w:rsid w:val="001935E5"/>
    <w:rsid w:val="00195788"/>
    <w:rsid w:val="001964EA"/>
    <w:rsid w:val="001966C0"/>
    <w:rsid w:val="00197E07"/>
    <w:rsid w:val="001A1962"/>
    <w:rsid w:val="001A22CE"/>
    <w:rsid w:val="001A31EC"/>
    <w:rsid w:val="001A339B"/>
    <w:rsid w:val="001A4A35"/>
    <w:rsid w:val="001A58FA"/>
    <w:rsid w:val="001A6531"/>
    <w:rsid w:val="001B0691"/>
    <w:rsid w:val="001B2EB6"/>
    <w:rsid w:val="001B61A7"/>
    <w:rsid w:val="001B6221"/>
    <w:rsid w:val="001B7FB7"/>
    <w:rsid w:val="001C0787"/>
    <w:rsid w:val="001C0B42"/>
    <w:rsid w:val="001C3522"/>
    <w:rsid w:val="001D13E7"/>
    <w:rsid w:val="001D2410"/>
    <w:rsid w:val="001D5D3A"/>
    <w:rsid w:val="001D7548"/>
    <w:rsid w:val="001E2008"/>
    <w:rsid w:val="001E255F"/>
    <w:rsid w:val="001E4D2A"/>
    <w:rsid w:val="001E4FE0"/>
    <w:rsid w:val="001E5DA8"/>
    <w:rsid w:val="001E5E49"/>
    <w:rsid w:val="001E6853"/>
    <w:rsid w:val="001E6C66"/>
    <w:rsid w:val="001E7972"/>
    <w:rsid w:val="001F0755"/>
    <w:rsid w:val="001F16A4"/>
    <w:rsid w:val="001F74CA"/>
    <w:rsid w:val="00201D52"/>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9EF"/>
    <w:rsid w:val="00233F19"/>
    <w:rsid w:val="002343BF"/>
    <w:rsid w:val="00234DAB"/>
    <w:rsid w:val="0023611B"/>
    <w:rsid w:val="00241728"/>
    <w:rsid w:val="002441A2"/>
    <w:rsid w:val="00245744"/>
    <w:rsid w:val="00247A2D"/>
    <w:rsid w:val="00250072"/>
    <w:rsid w:val="002504A6"/>
    <w:rsid w:val="00254E7C"/>
    <w:rsid w:val="00255A0D"/>
    <w:rsid w:val="00256A57"/>
    <w:rsid w:val="002578AA"/>
    <w:rsid w:val="0026444D"/>
    <w:rsid w:val="0026592D"/>
    <w:rsid w:val="00265EAD"/>
    <w:rsid w:val="00267C8C"/>
    <w:rsid w:val="0027189C"/>
    <w:rsid w:val="00271B66"/>
    <w:rsid w:val="00273F60"/>
    <w:rsid w:val="002819BB"/>
    <w:rsid w:val="00281DA1"/>
    <w:rsid w:val="002830E1"/>
    <w:rsid w:val="002838CE"/>
    <w:rsid w:val="00283C2D"/>
    <w:rsid w:val="002879C0"/>
    <w:rsid w:val="00291292"/>
    <w:rsid w:val="002933AB"/>
    <w:rsid w:val="00293CBE"/>
    <w:rsid w:val="002970D2"/>
    <w:rsid w:val="002A5659"/>
    <w:rsid w:val="002A6F12"/>
    <w:rsid w:val="002B173D"/>
    <w:rsid w:val="002B2313"/>
    <w:rsid w:val="002B3E9B"/>
    <w:rsid w:val="002B4334"/>
    <w:rsid w:val="002B568E"/>
    <w:rsid w:val="002B6E0B"/>
    <w:rsid w:val="002B74E0"/>
    <w:rsid w:val="002C25AE"/>
    <w:rsid w:val="002C3E56"/>
    <w:rsid w:val="002C51E8"/>
    <w:rsid w:val="002C611D"/>
    <w:rsid w:val="002C74FA"/>
    <w:rsid w:val="002E00D1"/>
    <w:rsid w:val="002E52AE"/>
    <w:rsid w:val="002E71BA"/>
    <w:rsid w:val="002E7660"/>
    <w:rsid w:val="002F0EDE"/>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A9A"/>
    <w:rsid w:val="003B04FE"/>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2BC1"/>
    <w:rsid w:val="00424B16"/>
    <w:rsid w:val="00425943"/>
    <w:rsid w:val="00425B19"/>
    <w:rsid w:val="00425C13"/>
    <w:rsid w:val="00426841"/>
    <w:rsid w:val="00430454"/>
    <w:rsid w:val="00430C6E"/>
    <w:rsid w:val="004314A5"/>
    <w:rsid w:val="00431898"/>
    <w:rsid w:val="0043547C"/>
    <w:rsid w:val="00436058"/>
    <w:rsid w:val="00436FDB"/>
    <w:rsid w:val="00443209"/>
    <w:rsid w:val="004446FE"/>
    <w:rsid w:val="00444C8F"/>
    <w:rsid w:val="00445427"/>
    <w:rsid w:val="00445836"/>
    <w:rsid w:val="00450EBD"/>
    <w:rsid w:val="0045216A"/>
    <w:rsid w:val="00452D5C"/>
    <w:rsid w:val="004532AD"/>
    <w:rsid w:val="004535A4"/>
    <w:rsid w:val="0045739A"/>
    <w:rsid w:val="004574BB"/>
    <w:rsid w:val="00460B1C"/>
    <w:rsid w:val="00462A59"/>
    <w:rsid w:val="00467329"/>
    <w:rsid w:val="004710A1"/>
    <w:rsid w:val="004711B6"/>
    <w:rsid w:val="0047425E"/>
    <w:rsid w:val="0047595B"/>
    <w:rsid w:val="00476128"/>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6BA9"/>
    <w:rsid w:val="004D2115"/>
    <w:rsid w:val="004D392F"/>
    <w:rsid w:val="004D4629"/>
    <w:rsid w:val="004D63AB"/>
    <w:rsid w:val="004D79E5"/>
    <w:rsid w:val="004E127E"/>
    <w:rsid w:val="004E15D0"/>
    <w:rsid w:val="004E5222"/>
    <w:rsid w:val="004E5F18"/>
    <w:rsid w:val="004E64F7"/>
    <w:rsid w:val="004F374D"/>
    <w:rsid w:val="004F6A2D"/>
    <w:rsid w:val="005011CC"/>
    <w:rsid w:val="005032D1"/>
    <w:rsid w:val="00506C9F"/>
    <w:rsid w:val="0050726E"/>
    <w:rsid w:val="00511BF3"/>
    <w:rsid w:val="0051736B"/>
    <w:rsid w:val="00517597"/>
    <w:rsid w:val="00521BAF"/>
    <w:rsid w:val="005243A4"/>
    <w:rsid w:val="00530E6F"/>
    <w:rsid w:val="00545A9C"/>
    <w:rsid w:val="00547747"/>
    <w:rsid w:val="00561CF2"/>
    <w:rsid w:val="00562187"/>
    <w:rsid w:val="0056227C"/>
    <w:rsid w:val="00562B0F"/>
    <w:rsid w:val="00563276"/>
    <w:rsid w:val="00563610"/>
    <w:rsid w:val="00564125"/>
    <w:rsid w:val="0057118E"/>
    <w:rsid w:val="005821C7"/>
    <w:rsid w:val="00582C42"/>
    <w:rsid w:val="00584A0B"/>
    <w:rsid w:val="00585CDE"/>
    <w:rsid w:val="0058731B"/>
    <w:rsid w:val="0059015D"/>
    <w:rsid w:val="00592241"/>
    <w:rsid w:val="00592F2E"/>
    <w:rsid w:val="005A08A0"/>
    <w:rsid w:val="005A2680"/>
    <w:rsid w:val="005A5EBB"/>
    <w:rsid w:val="005B2056"/>
    <w:rsid w:val="005B55B4"/>
    <w:rsid w:val="005C0A5C"/>
    <w:rsid w:val="005C2B3B"/>
    <w:rsid w:val="005D0E8C"/>
    <w:rsid w:val="005D2840"/>
    <w:rsid w:val="005D2A6B"/>
    <w:rsid w:val="005D3061"/>
    <w:rsid w:val="005D392F"/>
    <w:rsid w:val="005D5180"/>
    <w:rsid w:val="005D76C7"/>
    <w:rsid w:val="005E194F"/>
    <w:rsid w:val="005E23C1"/>
    <w:rsid w:val="005E3919"/>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14E68"/>
    <w:rsid w:val="0061721E"/>
    <w:rsid w:val="00617536"/>
    <w:rsid w:val="00620F60"/>
    <w:rsid w:val="006215B5"/>
    <w:rsid w:val="006226C9"/>
    <w:rsid w:val="00624A9C"/>
    <w:rsid w:val="0062611F"/>
    <w:rsid w:val="00635E67"/>
    <w:rsid w:val="00637AE5"/>
    <w:rsid w:val="006402E3"/>
    <w:rsid w:val="0064040B"/>
    <w:rsid w:val="00642AB3"/>
    <w:rsid w:val="00643F5C"/>
    <w:rsid w:val="006443DD"/>
    <w:rsid w:val="00650C21"/>
    <w:rsid w:val="00662E41"/>
    <w:rsid w:val="006634AC"/>
    <w:rsid w:val="00665CC3"/>
    <w:rsid w:val="0067505E"/>
    <w:rsid w:val="00676809"/>
    <w:rsid w:val="00676E90"/>
    <w:rsid w:val="0067762D"/>
    <w:rsid w:val="00686342"/>
    <w:rsid w:val="00686B64"/>
    <w:rsid w:val="006916B4"/>
    <w:rsid w:val="006922CC"/>
    <w:rsid w:val="00693253"/>
    <w:rsid w:val="006961A1"/>
    <w:rsid w:val="0069666A"/>
    <w:rsid w:val="00697826"/>
    <w:rsid w:val="006A23F9"/>
    <w:rsid w:val="006A7F44"/>
    <w:rsid w:val="006B17FC"/>
    <w:rsid w:val="006B1DB3"/>
    <w:rsid w:val="006B35B1"/>
    <w:rsid w:val="006B549B"/>
    <w:rsid w:val="006B682F"/>
    <w:rsid w:val="006B722D"/>
    <w:rsid w:val="006C2398"/>
    <w:rsid w:val="006C2857"/>
    <w:rsid w:val="006C39BD"/>
    <w:rsid w:val="006C4109"/>
    <w:rsid w:val="006C5B17"/>
    <w:rsid w:val="006C6A99"/>
    <w:rsid w:val="006C6EC8"/>
    <w:rsid w:val="006C761E"/>
    <w:rsid w:val="006D0736"/>
    <w:rsid w:val="006D42A0"/>
    <w:rsid w:val="006D4303"/>
    <w:rsid w:val="006E1EDF"/>
    <w:rsid w:val="006E2E68"/>
    <w:rsid w:val="006E3C38"/>
    <w:rsid w:val="006F00D7"/>
    <w:rsid w:val="006F016D"/>
    <w:rsid w:val="006F35C8"/>
    <w:rsid w:val="006F5D48"/>
    <w:rsid w:val="006F7A15"/>
    <w:rsid w:val="00703319"/>
    <w:rsid w:val="007061C8"/>
    <w:rsid w:val="007071E2"/>
    <w:rsid w:val="00707C08"/>
    <w:rsid w:val="007105D6"/>
    <w:rsid w:val="00717F6A"/>
    <w:rsid w:val="00720D8E"/>
    <w:rsid w:val="00722D80"/>
    <w:rsid w:val="00725343"/>
    <w:rsid w:val="007258F3"/>
    <w:rsid w:val="00725B5F"/>
    <w:rsid w:val="007342CE"/>
    <w:rsid w:val="00734D1C"/>
    <w:rsid w:val="00737562"/>
    <w:rsid w:val="00740930"/>
    <w:rsid w:val="00743885"/>
    <w:rsid w:val="00746038"/>
    <w:rsid w:val="00746D48"/>
    <w:rsid w:val="0075222E"/>
    <w:rsid w:val="00754F8D"/>
    <w:rsid w:val="0076095A"/>
    <w:rsid w:val="007637ED"/>
    <w:rsid w:val="007660D2"/>
    <w:rsid w:val="0076666E"/>
    <w:rsid w:val="007730B4"/>
    <w:rsid w:val="00775C55"/>
    <w:rsid w:val="00782B53"/>
    <w:rsid w:val="00785D78"/>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490B"/>
    <w:rsid w:val="007C4E25"/>
    <w:rsid w:val="007C509D"/>
    <w:rsid w:val="007D2EF2"/>
    <w:rsid w:val="007D3DF0"/>
    <w:rsid w:val="007D6514"/>
    <w:rsid w:val="007E3141"/>
    <w:rsid w:val="007E3436"/>
    <w:rsid w:val="007E3D7C"/>
    <w:rsid w:val="007E4793"/>
    <w:rsid w:val="007E5124"/>
    <w:rsid w:val="007E75C6"/>
    <w:rsid w:val="007F072C"/>
    <w:rsid w:val="007F1267"/>
    <w:rsid w:val="007F2590"/>
    <w:rsid w:val="007F27B4"/>
    <w:rsid w:val="007F4014"/>
    <w:rsid w:val="007F6EB3"/>
    <w:rsid w:val="00800D86"/>
    <w:rsid w:val="00803410"/>
    <w:rsid w:val="00803C68"/>
    <w:rsid w:val="00804562"/>
    <w:rsid w:val="008048E5"/>
    <w:rsid w:val="00806077"/>
    <w:rsid w:val="00810017"/>
    <w:rsid w:val="00810374"/>
    <w:rsid w:val="00810F52"/>
    <w:rsid w:val="008151D0"/>
    <w:rsid w:val="0081566D"/>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80CAD"/>
    <w:rsid w:val="008811F1"/>
    <w:rsid w:val="0088230E"/>
    <w:rsid w:val="00882A7E"/>
    <w:rsid w:val="008836AC"/>
    <w:rsid w:val="00884EFC"/>
    <w:rsid w:val="008927E1"/>
    <w:rsid w:val="00894FD8"/>
    <w:rsid w:val="008A2E40"/>
    <w:rsid w:val="008B25E6"/>
    <w:rsid w:val="008B29BD"/>
    <w:rsid w:val="008B4DEE"/>
    <w:rsid w:val="008B5EA3"/>
    <w:rsid w:val="008B758D"/>
    <w:rsid w:val="008B7C88"/>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42E8"/>
    <w:rsid w:val="00900BA0"/>
    <w:rsid w:val="00901131"/>
    <w:rsid w:val="00903846"/>
    <w:rsid w:val="00904834"/>
    <w:rsid w:val="00905713"/>
    <w:rsid w:val="00906B9D"/>
    <w:rsid w:val="00911276"/>
    <w:rsid w:val="00914135"/>
    <w:rsid w:val="009143D3"/>
    <w:rsid w:val="0091671C"/>
    <w:rsid w:val="00922CA1"/>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501B3"/>
    <w:rsid w:val="00957711"/>
    <w:rsid w:val="00957999"/>
    <w:rsid w:val="0096568E"/>
    <w:rsid w:val="00966250"/>
    <w:rsid w:val="00966B9D"/>
    <w:rsid w:val="00971341"/>
    <w:rsid w:val="00971C66"/>
    <w:rsid w:val="00973EE4"/>
    <w:rsid w:val="0097597B"/>
    <w:rsid w:val="00980BE0"/>
    <w:rsid w:val="00981349"/>
    <w:rsid w:val="00984A8F"/>
    <w:rsid w:val="009855B4"/>
    <w:rsid w:val="00985711"/>
    <w:rsid w:val="00990AC4"/>
    <w:rsid w:val="00995341"/>
    <w:rsid w:val="009956C0"/>
    <w:rsid w:val="009A1B4A"/>
    <w:rsid w:val="009A27BF"/>
    <w:rsid w:val="009A4395"/>
    <w:rsid w:val="009A5695"/>
    <w:rsid w:val="009A7920"/>
    <w:rsid w:val="009A7A6E"/>
    <w:rsid w:val="009A7CA5"/>
    <w:rsid w:val="009B13DF"/>
    <w:rsid w:val="009B482E"/>
    <w:rsid w:val="009B6CB6"/>
    <w:rsid w:val="009B79BF"/>
    <w:rsid w:val="009C20C3"/>
    <w:rsid w:val="009C267C"/>
    <w:rsid w:val="009C2815"/>
    <w:rsid w:val="009C7623"/>
    <w:rsid w:val="009D4C46"/>
    <w:rsid w:val="009D561E"/>
    <w:rsid w:val="009D7481"/>
    <w:rsid w:val="009E078B"/>
    <w:rsid w:val="009E1219"/>
    <w:rsid w:val="009E242C"/>
    <w:rsid w:val="009E2EF7"/>
    <w:rsid w:val="009E5DC4"/>
    <w:rsid w:val="009E7547"/>
    <w:rsid w:val="009F05CD"/>
    <w:rsid w:val="009F3C1C"/>
    <w:rsid w:val="009F48E7"/>
    <w:rsid w:val="009F7729"/>
    <w:rsid w:val="00A002D9"/>
    <w:rsid w:val="00A039F9"/>
    <w:rsid w:val="00A0445C"/>
    <w:rsid w:val="00A063BB"/>
    <w:rsid w:val="00A076E7"/>
    <w:rsid w:val="00A11381"/>
    <w:rsid w:val="00A124E5"/>
    <w:rsid w:val="00A128B8"/>
    <w:rsid w:val="00A14FD3"/>
    <w:rsid w:val="00A21048"/>
    <w:rsid w:val="00A21724"/>
    <w:rsid w:val="00A225C7"/>
    <w:rsid w:val="00A2324E"/>
    <w:rsid w:val="00A23D0F"/>
    <w:rsid w:val="00A26139"/>
    <w:rsid w:val="00A30B58"/>
    <w:rsid w:val="00A337C9"/>
    <w:rsid w:val="00A35532"/>
    <w:rsid w:val="00A35548"/>
    <w:rsid w:val="00A37388"/>
    <w:rsid w:val="00A43591"/>
    <w:rsid w:val="00A43ADC"/>
    <w:rsid w:val="00A44972"/>
    <w:rsid w:val="00A44D2C"/>
    <w:rsid w:val="00A45591"/>
    <w:rsid w:val="00A464C8"/>
    <w:rsid w:val="00A46ACC"/>
    <w:rsid w:val="00A50954"/>
    <w:rsid w:val="00A517E4"/>
    <w:rsid w:val="00A5583F"/>
    <w:rsid w:val="00A572A1"/>
    <w:rsid w:val="00A613D3"/>
    <w:rsid w:val="00A67362"/>
    <w:rsid w:val="00A67E8B"/>
    <w:rsid w:val="00A71207"/>
    <w:rsid w:val="00A75D7C"/>
    <w:rsid w:val="00A80E85"/>
    <w:rsid w:val="00A813EA"/>
    <w:rsid w:val="00A839C6"/>
    <w:rsid w:val="00A8782B"/>
    <w:rsid w:val="00A91279"/>
    <w:rsid w:val="00A91E74"/>
    <w:rsid w:val="00A92969"/>
    <w:rsid w:val="00A93E45"/>
    <w:rsid w:val="00A95297"/>
    <w:rsid w:val="00A9603B"/>
    <w:rsid w:val="00A97DCA"/>
    <w:rsid w:val="00AA0E5D"/>
    <w:rsid w:val="00AA202E"/>
    <w:rsid w:val="00AA4F83"/>
    <w:rsid w:val="00AA7B9B"/>
    <w:rsid w:val="00AA7E7E"/>
    <w:rsid w:val="00AB799C"/>
    <w:rsid w:val="00AC0515"/>
    <w:rsid w:val="00AC08F4"/>
    <w:rsid w:val="00AC0959"/>
    <w:rsid w:val="00AC4A5F"/>
    <w:rsid w:val="00AD4FD2"/>
    <w:rsid w:val="00AD50E0"/>
    <w:rsid w:val="00AD6D17"/>
    <w:rsid w:val="00AE2BC7"/>
    <w:rsid w:val="00AE2EEB"/>
    <w:rsid w:val="00AE31FE"/>
    <w:rsid w:val="00AE7569"/>
    <w:rsid w:val="00B017A1"/>
    <w:rsid w:val="00B04667"/>
    <w:rsid w:val="00B07AF4"/>
    <w:rsid w:val="00B07CFC"/>
    <w:rsid w:val="00B1016F"/>
    <w:rsid w:val="00B10CCF"/>
    <w:rsid w:val="00B233B5"/>
    <w:rsid w:val="00B24AB5"/>
    <w:rsid w:val="00B30689"/>
    <w:rsid w:val="00B31320"/>
    <w:rsid w:val="00B32828"/>
    <w:rsid w:val="00B34915"/>
    <w:rsid w:val="00B3614F"/>
    <w:rsid w:val="00B40C52"/>
    <w:rsid w:val="00B42988"/>
    <w:rsid w:val="00B42BCA"/>
    <w:rsid w:val="00B47FAD"/>
    <w:rsid w:val="00B52FDA"/>
    <w:rsid w:val="00B60AC2"/>
    <w:rsid w:val="00B62A5D"/>
    <w:rsid w:val="00B66221"/>
    <w:rsid w:val="00B66BF7"/>
    <w:rsid w:val="00B67AB5"/>
    <w:rsid w:val="00B76863"/>
    <w:rsid w:val="00B81311"/>
    <w:rsid w:val="00B82AC5"/>
    <w:rsid w:val="00B83DC6"/>
    <w:rsid w:val="00B8450C"/>
    <w:rsid w:val="00B85750"/>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49AB"/>
    <w:rsid w:val="00C14E91"/>
    <w:rsid w:val="00C20833"/>
    <w:rsid w:val="00C33872"/>
    <w:rsid w:val="00C346CC"/>
    <w:rsid w:val="00C34951"/>
    <w:rsid w:val="00C35BB3"/>
    <w:rsid w:val="00C4045D"/>
    <w:rsid w:val="00C430A8"/>
    <w:rsid w:val="00C44753"/>
    <w:rsid w:val="00C45446"/>
    <w:rsid w:val="00C4782A"/>
    <w:rsid w:val="00C51B47"/>
    <w:rsid w:val="00C52F3E"/>
    <w:rsid w:val="00C6223B"/>
    <w:rsid w:val="00C67CAD"/>
    <w:rsid w:val="00C70950"/>
    <w:rsid w:val="00C70B00"/>
    <w:rsid w:val="00C70B01"/>
    <w:rsid w:val="00C70BAC"/>
    <w:rsid w:val="00C70CCC"/>
    <w:rsid w:val="00C71C7D"/>
    <w:rsid w:val="00C74E0D"/>
    <w:rsid w:val="00C80EF3"/>
    <w:rsid w:val="00C816DC"/>
    <w:rsid w:val="00C81DA8"/>
    <w:rsid w:val="00C840BB"/>
    <w:rsid w:val="00C846D0"/>
    <w:rsid w:val="00C91205"/>
    <w:rsid w:val="00C9362B"/>
    <w:rsid w:val="00C93EDA"/>
    <w:rsid w:val="00C95CBD"/>
    <w:rsid w:val="00C97498"/>
    <w:rsid w:val="00C974F3"/>
    <w:rsid w:val="00C9767B"/>
    <w:rsid w:val="00CA055D"/>
    <w:rsid w:val="00CA1268"/>
    <w:rsid w:val="00CA17EC"/>
    <w:rsid w:val="00CA2BAA"/>
    <w:rsid w:val="00CB190D"/>
    <w:rsid w:val="00CB1C65"/>
    <w:rsid w:val="00CB7A8C"/>
    <w:rsid w:val="00CC6E0F"/>
    <w:rsid w:val="00CC7301"/>
    <w:rsid w:val="00CC7BBB"/>
    <w:rsid w:val="00CD1251"/>
    <w:rsid w:val="00CD2B83"/>
    <w:rsid w:val="00CE1A63"/>
    <w:rsid w:val="00CF03F7"/>
    <w:rsid w:val="00CF0DB0"/>
    <w:rsid w:val="00CF4590"/>
    <w:rsid w:val="00CF7390"/>
    <w:rsid w:val="00CF74F2"/>
    <w:rsid w:val="00D00427"/>
    <w:rsid w:val="00D0176F"/>
    <w:rsid w:val="00D02B02"/>
    <w:rsid w:val="00D04FDA"/>
    <w:rsid w:val="00D076C1"/>
    <w:rsid w:val="00D10155"/>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359C"/>
    <w:rsid w:val="00D7509A"/>
    <w:rsid w:val="00D76DD7"/>
    <w:rsid w:val="00D80042"/>
    <w:rsid w:val="00D815D9"/>
    <w:rsid w:val="00D84708"/>
    <w:rsid w:val="00D87BE5"/>
    <w:rsid w:val="00D87FA1"/>
    <w:rsid w:val="00D912FE"/>
    <w:rsid w:val="00D93312"/>
    <w:rsid w:val="00D94F10"/>
    <w:rsid w:val="00D972C8"/>
    <w:rsid w:val="00DA0689"/>
    <w:rsid w:val="00DA4CF2"/>
    <w:rsid w:val="00DA743F"/>
    <w:rsid w:val="00DB1168"/>
    <w:rsid w:val="00DB1E76"/>
    <w:rsid w:val="00DB31E2"/>
    <w:rsid w:val="00DB3377"/>
    <w:rsid w:val="00DB366F"/>
    <w:rsid w:val="00DB5700"/>
    <w:rsid w:val="00DB7E0F"/>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5ABC"/>
    <w:rsid w:val="00E16710"/>
    <w:rsid w:val="00E17F84"/>
    <w:rsid w:val="00E20E32"/>
    <w:rsid w:val="00E22E98"/>
    <w:rsid w:val="00E23507"/>
    <w:rsid w:val="00E24DE3"/>
    <w:rsid w:val="00E2562A"/>
    <w:rsid w:val="00E25A2A"/>
    <w:rsid w:val="00E25FD9"/>
    <w:rsid w:val="00E26CFA"/>
    <w:rsid w:val="00E324B0"/>
    <w:rsid w:val="00E3580F"/>
    <w:rsid w:val="00E35FD3"/>
    <w:rsid w:val="00E36A7E"/>
    <w:rsid w:val="00E37818"/>
    <w:rsid w:val="00E379B8"/>
    <w:rsid w:val="00E41199"/>
    <w:rsid w:val="00E417EE"/>
    <w:rsid w:val="00E41AD3"/>
    <w:rsid w:val="00E41CC7"/>
    <w:rsid w:val="00E4335E"/>
    <w:rsid w:val="00E54339"/>
    <w:rsid w:val="00E55A40"/>
    <w:rsid w:val="00E639CB"/>
    <w:rsid w:val="00E65FD7"/>
    <w:rsid w:val="00E673DE"/>
    <w:rsid w:val="00E73787"/>
    <w:rsid w:val="00E75AE9"/>
    <w:rsid w:val="00E762E5"/>
    <w:rsid w:val="00E804A2"/>
    <w:rsid w:val="00E81DF4"/>
    <w:rsid w:val="00E83621"/>
    <w:rsid w:val="00E83BFF"/>
    <w:rsid w:val="00E92EA1"/>
    <w:rsid w:val="00E94459"/>
    <w:rsid w:val="00E959A8"/>
    <w:rsid w:val="00E96D35"/>
    <w:rsid w:val="00E972DF"/>
    <w:rsid w:val="00EA1B47"/>
    <w:rsid w:val="00EA2BE6"/>
    <w:rsid w:val="00EA34F4"/>
    <w:rsid w:val="00EA712C"/>
    <w:rsid w:val="00EB2C80"/>
    <w:rsid w:val="00EC2C32"/>
    <w:rsid w:val="00EC5DD2"/>
    <w:rsid w:val="00ED146E"/>
    <w:rsid w:val="00EE356B"/>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2085C"/>
    <w:rsid w:val="00F20EEE"/>
    <w:rsid w:val="00F25E39"/>
    <w:rsid w:val="00F27BF1"/>
    <w:rsid w:val="00F27F99"/>
    <w:rsid w:val="00F314F4"/>
    <w:rsid w:val="00F31E50"/>
    <w:rsid w:val="00F35B15"/>
    <w:rsid w:val="00F44E4D"/>
    <w:rsid w:val="00F46C4D"/>
    <w:rsid w:val="00F50ACA"/>
    <w:rsid w:val="00F512E3"/>
    <w:rsid w:val="00F517A9"/>
    <w:rsid w:val="00F57427"/>
    <w:rsid w:val="00F60F13"/>
    <w:rsid w:val="00F64C36"/>
    <w:rsid w:val="00F64C8C"/>
    <w:rsid w:val="00F64DE2"/>
    <w:rsid w:val="00F650C1"/>
    <w:rsid w:val="00F669FF"/>
    <w:rsid w:val="00F67FBB"/>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15C7"/>
    <w:rsid w:val="00FD1EFD"/>
    <w:rsid w:val="00FD3023"/>
    <w:rsid w:val="00FD3E63"/>
    <w:rsid w:val="00FD4212"/>
    <w:rsid w:val="00FD6D80"/>
    <w:rsid w:val="00FE0762"/>
    <w:rsid w:val="00FE225B"/>
    <w:rsid w:val="00FE3252"/>
    <w:rsid w:val="00FE4CDC"/>
    <w:rsid w:val="00FE7BD4"/>
    <w:rsid w:val="00FF04EA"/>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8AE25"/>
  <w15:docId w15:val="{B4FF2B08-1044-47A0-B738-4978FE0F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uiPriority w:val="99"/>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 w:type="character" w:customStyle="1" w:styleId="apple-converted-space">
    <w:name w:val="apple-converted-space"/>
    <w:basedOn w:val="DefaultParagraphFont"/>
    <w:rsid w:val="00C91205"/>
  </w:style>
  <w:style w:type="character" w:styleId="Hyperlink">
    <w:name w:val="Hyperlink"/>
    <w:basedOn w:val="DefaultParagraphFont"/>
    <w:uiPriority w:val="99"/>
    <w:unhideWhenUsed/>
    <w:rsid w:val="00662E41"/>
    <w:rPr>
      <w:color w:val="0000FF" w:themeColor="hyperlink"/>
      <w:u w:val="single"/>
    </w:rPr>
  </w:style>
  <w:style w:type="paragraph" w:styleId="Title">
    <w:name w:val="Title"/>
    <w:basedOn w:val="Normal"/>
    <w:next w:val="Normal"/>
    <w:link w:val="TitleChar"/>
    <w:uiPriority w:val="10"/>
    <w:qFormat/>
    <w:rsid w:val="00665C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C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ownloads\CJ%20Book%20Review%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6128E-F556-43CE-84D3-24F7F8A6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 Book Review Template (2)</Template>
  <TotalTime>1</TotalTime>
  <Pages>7</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Joel Christensen</cp:lastModifiedBy>
  <cp:revision>3</cp:revision>
  <dcterms:created xsi:type="dcterms:W3CDTF">2016-09-23T15:57:00Z</dcterms:created>
  <dcterms:modified xsi:type="dcterms:W3CDTF">2016-09-23T15:57:00Z</dcterms:modified>
</cp:coreProperties>
</file>